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BECC" w14:textId="5465860A" w:rsidR="005B07D0" w:rsidRPr="00860D25" w:rsidRDefault="00BD5966" w:rsidP="00860D25">
      <w:pPr>
        <w:spacing w:after="0"/>
        <w:jc w:val="center"/>
        <w:rPr>
          <w:sz w:val="24"/>
          <w:szCs w:val="24"/>
          <w:lang w:val="pl-PL"/>
        </w:rPr>
      </w:pPr>
      <w:r w:rsidRPr="00860D25">
        <w:rPr>
          <w:b/>
          <w:sz w:val="24"/>
          <w:szCs w:val="24"/>
          <w:lang w:val="pl-PL"/>
        </w:rPr>
        <w:t xml:space="preserve">UCHWAŁA NR </w:t>
      </w:r>
      <w:r w:rsidR="007910B7" w:rsidRPr="007910B7">
        <w:rPr>
          <w:b/>
          <w:sz w:val="24"/>
          <w:szCs w:val="24"/>
          <w:lang w:val="pl-PL"/>
        </w:rPr>
        <w:t>XXV</w:t>
      </w:r>
      <w:r w:rsidR="007910B7">
        <w:rPr>
          <w:b/>
          <w:sz w:val="24"/>
          <w:szCs w:val="24"/>
          <w:lang w:val="pl-PL"/>
        </w:rPr>
        <w:t>/</w:t>
      </w:r>
      <w:r w:rsidR="007910B7" w:rsidRPr="007910B7">
        <w:rPr>
          <w:b/>
          <w:sz w:val="24"/>
          <w:szCs w:val="24"/>
          <w:lang w:val="pl-PL"/>
        </w:rPr>
        <w:t>15</w:t>
      </w:r>
      <w:r w:rsidR="003B1ECB">
        <w:rPr>
          <w:b/>
          <w:sz w:val="24"/>
          <w:szCs w:val="24"/>
          <w:lang w:val="pl-PL"/>
        </w:rPr>
        <w:t>1</w:t>
      </w:r>
      <w:r w:rsidR="007910B7">
        <w:rPr>
          <w:b/>
          <w:sz w:val="24"/>
          <w:szCs w:val="24"/>
          <w:lang w:val="pl-PL"/>
        </w:rPr>
        <w:t>/</w:t>
      </w:r>
      <w:r w:rsidR="007910B7" w:rsidRPr="007910B7">
        <w:rPr>
          <w:b/>
          <w:sz w:val="24"/>
          <w:szCs w:val="24"/>
          <w:lang w:val="pl-PL"/>
        </w:rPr>
        <w:t>2026</w:t>
      </w:r>
    </w:p>
    <w:p w14:paraId="54C041C5" w14:textId="77777777" w:rsidR="005B07D0" w:rsidRPr="00860D25" w:rsidRDefault="00BD5966" w:rsidP="00860D25">
      <w:pPr>
        <w:spacing w:after="0"/>
        <w:jc w:val="center"/>
        <w:rPr>
          <w:sz w:val="24"/>
          <w:szCs w:val="24"/>
          <w:lang w:val="pl-PL"/>
        </w:rPr>
      </w:pPr>
      <w:r w:rsidRPr="00860D25">
        <w:rPr>
          <w:b/>
          <w:sz w:val="24"/>
          <w:szCs w:val="24"/>
          <w:lang w:val="pl-PL"/>
        </w:rPr>
        <w:t>RADY GMINY GOZDOWO</w:t>
      </w:r>
    </w:p>
    <w:p w14:paraId="6EA7FC1A" w14:textId="783407D7" w:rsidR="005B07D0" w:rsidRPr="00860D25" w:rsidRDefault="00BD5966" w:rsidP="00860D25">
      <w:pPr>
        <w:spacing w:after="0"/>
        <w:jc w:val="center"/>
        <w:rPr>
          <w:sz w:val="24"/>
          <w:szCs w:val="24"/>
          <w:lang w:val="pl-PL"/>
        </w:rPr>
      </w:pPr>
      <w:r w:rsidRPr="00860D25">
        <w:rPr>
          <w:sz w:val="24"/>
          <w:szCs w:val="24"/>
          <w:lang w:val="pl-PL"/>
        </w:rPr>
        <w:t xml:space="preserve">z dnia </w:t>
      </w:r>
      <w:r w:rsidR="007910B7">
        <w:rPr>
          <w:sz w:val="24"/>
          <w:szCs w:val="24"/>
          <w:lang w:val="pl-PL"/>
        </w:rPr>
        <w:t>25 lutego</w:t>
      </w:r>
      <w:r w:rsidRPr="00860D25">
        <w:rPr>
          <w:sz w:val="24"/>
          <w:szCs w:val="24"/>
          <w:lang w:val="pl-PL"/>
        </w:rPr>
        <w:t xml:space="preserve"> 2026 r.</w:t>
      </w:r>
    </w:p>
    <w:p w14:paraId="3D7F73F9" w14:textId="77777777" w:rsidR="005B07D0" w:rsidRPr="00860D25" w:rsidRDefault="005B07D0" w:rsidP="00860D25">
      <w:pPr>
        <w:spacing w:after="0"/>
        <w:jc w:val="center"/>
        <w:rPr>
          <w:sz w:val="24"/>
          <w:szCs w:val="24"/>
          <w:lang w:val="pl-PL"/>
        </w:rPr>
      </w:pPr>
    </w:p>
    <w:p w14:paraId="5D90DAF7" w14:textId="07CA7C33" w:rsidR="005B07D0" w:rsidRPr="00860D25" w:rsidRDefault="00BD5966" w:rsidP="00860D25">
      <w:pPr>
        <w:spacing w:after="0"/>
        <w:jc w:val="center"/>
        <w:rPr>
          <w:b/>
          <w:bCs/>
          <w:sz w:val="24"/>
          <w:szCs w:val="24"/>
          <w:lang w:val="pl-PL"/>
        </w:rPr>
      </w:pPr>
      <w:r w:rsidRPr="00860D25">
        <w:rPr>
          <w:b/>
          <w:bCs/>
          <w:sz w:val="24"/>
          <w:szCs w:val="24"/>
          <w:lang w:val="pl-PL"/>
        </w:rPr>
        <w:t>w sprawie rozpatrzenia skargi Pana Antoniego U.* na działalność Wójta Gminy Gozdowo oraz jednostek organizacyjnych Gminy</w:t>
      </w:r>
      <w:r w:rsidR="00860D25">
        <w:rPr>
          <w:b/>
          <w:bCs/>
          <w:sz w:val="24"/>
          <w:szCs w:val="24"/>
          <w:lang w:val="pl-PL"/>
        </w:rPr>
        <w:t xml:space="preserve"> Gozdowo </w:t>
      </w:r>
    </w:p>
    <w:p w14:paraId="192D28D3" w14:textId="77777777" w:rsidR="005B07D0" w:rsidRPr="00860D25" w:rsidRDefault="005B07D0" w:rsidP="00860D25">
      <w:pPr>
        <w:jc w:val="center"/>
        <w:rPr>
          <w:lang w:val="pl-PL"/>
        </w:rPr>
      </w:pPr>
    </w:p>
    <w:p w14:paraId="1BD59518" w14:textId="77777777" w:rsidR="00DF1887" w:rsidRDefault="00BD5966" w:rsidP="00860D25">
      <w:pPr>
        <w:jc w:val="both"/>
        <w:rPr>
          <w:lang w:val="pl-PL"/>
        </w:rPr>
      </w:pPr>
      <w:r w:rsidRPr="00860D25">
        <w:rPr>
          <w:lang w:val="pl-PL"/>
        </w:rPr>
        <w:t xml:space="preserve">Na podstawie art. 18 ust. 2 pkt 15 oraz art. 18b ust. 1 ustawy z dnia 8 marca 1990 r. o samorządzie gminnym (Dz.U. z 2025 r. poz. 1153 ze zm.) w związku z art. 227, art. 229 pkt 3 oraz art. 239 § 1 ustawy z dnia 14 czerwca 1960 r. – Kodeks postępowania administracyjnego (Dz.U. z 2025 r. poz. 1691 ze zm.), </w:t>
      </w:r>
    </w:p>
    <w:p w14:paraId="0153F5AA" w14:textId="25ADE922" w:rsidR="005B07D0" w:rsidRPr="00DF1887" w:rsidRDefault="00BD5966" w:rsidP="00860D25">
      <w:pPr>
        <w:jc w:val="both"/>
        <w:rPr>
          <w:b/>
          <w:bCs/>
          <w:lang w:val="pl-PL"/>
        </w:rPr>
      </w:pPr>
      <w:r w:rsidRPr="00DF1887">
        <w:rPr>
          <w:b/>
          <w:bCs/>
          <w:lang w:val="pl-PL"/>
        </w:rPr>
        <w:t>Rada Gminy Gozdowo uchwala, co następuje:</w:t>
      </w:r>
    </w:p>
    <w:p w14:paraId="0D042DCA" w14:textId="77777777" w:rsidR="005B07D0" w:rsidRPr="00860D25" w:rsidRDefault="00BD5966" w:rsidP="00860D25">
      <w:pPr>
        <w:jc w:val="center"/>
        <w:rPr>
          <w:lang w:val="pl-PL"/>
        </w:rPr>
      </w:pPr>
      <w:r w:rsidRPr="00860D25">
        <w:rPr>
          <w:b/>
          <w:lang w:val="pl-PL"/>
        </w:rPr>
        <w:t>§ 1.</w:t>
      </w:r>
    </w:p>
    <w:p w14:paraId="745D463E" w14:textId="77777777" w:rsidR="005B07D0" w:rsidRPr="00860D25" w:rsidRDefault="00BD5966" w:rsidP="00860D25">
      <w:pPr>
        <w:jc w:val="both"/>
        <w:rPr>
          <w:lang w:val="pl-PL"/>
        </w:rPr>
      </w:pPr>
      <w:r w:rsidRPr="00860D25">
        <w:rPr>
          <w:lang w:val="pl-PL"/>
        </w:rPr>
        <w:t>Po rozpatrzeniu skargi złożonej przez Pana Antoniego U.*, Rada Gminy Gozdowo uznaje skargę za bezzasadną.</w:t>
      </w:r>
    </w:p>
    <w:p w14:paraId="395CB624" w14:textId="77777777" w:rsidR="005B07D0" w:rsidRPr="00860D25" w:rsidRDefault="00BD5966" w:rsidP="00860D25">
      <w:pPr>
        <w:jc w:val="center"/>
        <w:rPr>
          <w:lang w:val="pl-PL"/>
        </w:rPr>
      </w:pPr>
      <w:r w:rsidRPr="00860D25">
        <w:rPr>
          <w:b/>
          <w:lang w:val="pl-PL"/>
        </w:rPr>
        <w:t>§ 2.</w:t>
      </w:r>
    </w:p>
    <w:p w14:paraId="34C45DAB" w14:textId="77777777" w:rsidR="005B07D0" w:rsidRPr="00860D25" w:rsidRDefault="00BD5966" w:rsidP="00860D25">
      <w:pPr>
        <w:jc w:val="both"/>
        <w:rPr>
          <w:lang w:val="pl-PL"/>
        </w:rPr>
      </w:pPr>
      <w:r w:rsidRPr="00860D25">
        <w:rPr>
          <w:lang w:val="pl-PL"/>
        </w:rPr>
        <w:t>Uzasadnienie stanowi załącznik do niniejszej uchwały.</w:t>
      </w:r>
    </w:p>
    <w:p w14:paraId="6C4A33BF" w14:textId="77777777" w:rsidR="005B07D0" w:rsidRPr="00860D25" w:rsidRDefault="00BD5966" w:rsidP="00860D25">
      <w:pPr>
        <w:jc w:val="center"/>
        <w:rPr>
          <w:lang w:val="pl-PL"/>
        </w:rPr>
      </w:pPr>
      <w:r w:rsidRPr="00860D25">
        <w:rPr>
          <w:b/>
          <w:lang w:val="pl-PL"/>
        </w:rPr>
        <w:t>§ 3.</w:t>
      </w:r>
    </w:p>
    <w:p w14:paraId="75B0234A" w14:textId="4BE0A381" w:rsidR="005B07D0" w:rsidRPr="00860D25" w:rsidRDefault="00860D25" w:rsidP="00860D25">
      <w:pPr>
        <w:jc w:val="both"/>
        <w:rPr>
          <w:lang w:val="pl-PL"/>
        </w:rPr>
      </w:pPr>
      <w:r w:rsidRPr="00860D25">
        <w:rPr>
          <w:lang w:val="pl-PL"/>
        </w:rPr>
        <w:t>Wykonanie uchwały powierza się Przewodniczącemu Rady Gminy Gozdowo, zobowiązując go do zawiadomienia skarżącego o sposobie załatwienia skargi poprzez przesłanie odpisu niniejszej uchwały wraz z uzasadnieniem.</w:t>
      </w:r>
    </w:p>
    <w:p w14:paraId="0146C64C" w14:textId="77777777" w:rsidR="005B07D0" w:rsidRPr="00860D25" w:rsidRDefault="00BD5966" w:rsidP="00860D25">
      <w:pPr>
        <w:jc w:val="center"/>
        <w:rPr>
          <w:lang w:val="pl-PL"/>
        </w:rPr>
      </w:pPr>
      <w:r w:rsidRPr="00860D25">
        <w:rPr>
          <w:b/>
          <w:lang w:val="pl-PL"/>
        </w:rPr>
        <w:t>§ 4.</w:t>
      </w:r>
    </w:p>
    <w:p w14:paraId="13320131" w14:textId="77777777" w:rsidR="005B07D0" w:rsidRPr="00860D25" w:rsidRDefault="00BD5966" w:rsidP="00860D25">
      <w:pPr>
        <w:jc w:val="both"/>
        <w:rPr>
          <w:lang w:val="pl-PL"/>
        </w:rPr>
      </w:pPr>
      <w:r w:rsidRPr="00860D25">
        <w:rPr>
          <w:lang w:val="pl-PL"/>
        </w:rPr>
        <w:t>Uchwała wchodzi w życie z dniem podjęcia.</w:t>
      </w:r>
    </w:p>
    <w:p w14:paraId="00647565" w14:textId="77777777" w:rsidR="005B07D0" w:rsidRPr="0047789F" w:rsidRDefault="00BD5966">
      <w:pPr>
        <w:rPr>
          <w:lang w:val="pl-PL"/>
        </w:rPr>
      </w:pPr>
      <w:r w:rsidRPr="0047789F">
        <w:rPr>
          <w:lang w:val="pl-PL"/>
        </w:rPr>
        <w:br w:type="page"/>
      </w:r>
    </w:p>
    <w:p w14:paraId="1360213D" w14:textId="46EADEA3" w:rsidR="00860D25" w:rsidRPr="007910B7" w:rsidRDefault="00BD5966" w:rsidP="007910B7">
      <w:pPr>
        <w:spacing w:after="0"/>
        <w:jc w:val="center"/>
        <w:rPr>
          <w:b/>
          <w:lang w:val="pl-PL"/>
        </w:rPr>
      </w:pPr>
      <w:r w:rsidRPr="007910B7">
        <w:rPr>
          <w:b/>
          <w:lang w:val="pl-PL"/>
        </w:rPr>
        <w:lastRenderedPageBreak/>
        <w:t>UZASADNIENI</w:t>
      </w:r>
      <w:r w:rsidR="00632C28" w:rsidRPr="007910B7">
        <w:rPr>
          <w:b/>
          <w:lang w:val="pl-PL"/>
        </w:rPr>
        <w:t>E</w:t>
      </w:r>
    </w:p>
    <w:p w14:paraId="5C79E1AC" w14:textId="4399AE55" w:rsidR="007910B7" w:rsidRPr="007910B7" w:rsidRDefault="007910B7" w:rsidP="007910B7">
      <w:pPr>
        <w:spacing w:after="0"/>
        <w:jc w:val="center"/>
        <w:rPr>
          <w:b/>
          <w:sz w:val="24"/>
          <w:szCs w:val="24"/>
          <w:lang w:val="pl-PL"/>
        </w:rPr>
      </w:pPr>
      <w:r w:rsidRPr="007910B7">
        <w:rPr>
          <w:b/>
          <w:lang w:val="pl-PL"/>
        </w:rPr>
        <w:t xml:space="preserve">do Uchwały Nr </w:t>
      </w:r>
      <w:r w:rsidRPr="007910B7">
        <w:rPr>
          <w:b/>
          <w:sz w:val="24"/>
          <w:szCs w:val="24"/>
          <w:lang w:val="pl-PL"/>
        </w:rPr>
        <w:t>XXV/15</w:t>
      </w:r>
      <w:r w:rsidR="003B1ECB">
        <w:rPr>
          <w:b/>
          <w:sz w:val="24"/>
          <w:szCs w:val="24"/>
          <w:lang w:val="pl-PL"/>
        </w:rPr>
        <w:t>1</w:t>
      </w:r>
      <w:r w:rsidRPr="007910B7">
        <w:rPr>
          <w:b/>
          <w:sz w:val="24"/>
          <w:szCs w:val="24"/>
          <w:lang w:val="pl-PL"/>
        </w:rPr>
        <w:t>/2026</w:t>
      </w:r>
    </w:p>
    <w:p w14:paraId="1F914C4E" w14:textId="606F5ED1" w:rsidR="007910B7" w:rsidRPr="007910B7" w:rsidRDefault="007910B7" w:rsidP="007910B7">
      <w:pPr>
        <w:spacing w:after="0"/>
        <w:jc w:val="center"/>
        <w:rPr>
          <w:b/>
          <w:lang w:val="pl-PL"/>
        </w:rPr>
      </w:pPr>
      <w:r w:rsidRPr="007910B7">
        <w:rPr>
          <w:b/>
          <w:lang w:val="pl-PL"/>
        </w:rPr>
        <w:t>Rady Gminy Gozdowo z dnia 25 lutego 2026 r.</w:t>
      </w:r>
    </w:p>
    <w:p w14:paraId="4616319B" w14:textId="77777777" w:rsidR="007910B7" w:rsidRPr="00860D25" w:rsidRDefault="007910B7" w:rsidP="007910B7">
      <w:pPr>
        <w:spacing w:after="0"/>
        <w:rPr>
          <w:lang w:val="pl-PL"/>
        </w:rPr>
      </w:pPr>
    </w:p>
    <w:p w14:paraId="59CE80A7" w14:textId="073B2E7A" w:rsidR="00860D25" w:rsidRDefault="00860D25" w:rsidP="00632C28">
      <w:pPr>
        <w:spacing w:after="0"/>
        <w:ind w:firstLine="720"/>
        <w:jc w:val="both"/>
        <w:rPr>
          <w:lang w:val="pl-PL"/>
        </w:rPr>
      </w:pPr>
      <w:r w:rsidRPr="00860D25">
        <w:rPr>
          <w:lang w:val="pl-PL"/>
        </w:rPr>
        <w:t xml:space="preserve">W dniu </w:t>
      </w:r>
      <w:r w:rsidR="00255A7F">
        <w:rPr>
          <w:lang w:val="pl-PL"/>
        </w:rPr>
        <w:t>3</w:t>
      </w:r>
      <w:r w:rsidRPr="00860D25">
        <w:rPr>
          <w:lang w:val="pl-PL"/>
        </w:rPr>
        <w:t xml:space="preserve"> grudnia 2025 r. do Rady Gminy Gozdowo wpłynęło obszerne pismo Pana Antoniego U</w:t>
      </w:r>
      <w:r w:rsidR="0047789F">
        <w:rPr>
          <w:lang w:val="pl-PL"/>
        </w:rPr>
        <w:t>.</w:t>
      </w:r>
      <w:r w:rsidRPr="00860D25">
        <w:rPr>
          <w:lang w:val="pl-PL"/>
        </w:rPr>
        <w:t xml:space="preserve"> zawierające szereg zarzutów wobec Wójta Gminy, radnych oraz funkcjonowania jednostek organizacyjnych gminy</w:t>
      </w:r>
      <w:r>
        <w:rPr>
          <w:lang w:val="pl-PL"/>
        </w:rPr>
        <w:t>.</w:t>
      </w:r>
      <w:r w:rsidR="00632C28">
        <w:rPr>
          <w:lang w:val="pl-PL"/>
        </w:rPr>
        <w:t xml:space="preserve"> </w:t>
      </w:r>
      <w:r w:rsidRPr="00860D25">
        <w:rPr>
          <w:lang w:val="pl-PL"/>
        </w:rPr>
        <w:t>Pismo</w:t>
      </w:r>
      <w:r>
        <w:rPr>
          <w:lang w:val="pl-PL"/>
        </w:rPr>
        <w:t xml:space="preserve"> ostatecznie</w:t>
      </w:r>
      <w:r w:rsidRPr="00860D25">
        <w:rPr>
          <w:lang w:val="pl-PL"/>
        </w:rPr>
        <w:t xml:space="preserve"> zostało zakwalifikowane jako skarga w rozumieniu art. 227 k.p.a. Komisja Skarg, Wniosków i Petycji rozpoznawała sprawę na posiedzeniach w dniach</w:t>
      </w:r>
      <w:r w:rsidR="0047789F">
        <w:rPr>
          <w:lang w:val="pl-PL"/>
        </w:rPr>
        <w:t xml:space="preserve">, 29 grudnia 2025 r. , </w:t>
      </w:r>
      <w:r w:rsidRPr="00860D25">
        <w:rPr>
          <w:lang w:val="pl-PL"/>
        </w:rPr>
        <w:t>14 stycznia 2026 r.</w:t>
      </w:r>
      <w:r>
        <w:rPr>
          <w:lang w:val="pl-PL"/>
        </w:rPr>
        <w:t xml:space="preserve"> oraz 30 stycznia 2026 r.</w:t>
      </w:r>
      <w:r w:rsidRPr="00860D25">
        <w:rPr>
          <w:lang w:val="pl-PL"/>
        </w:rPr>
        <w:t xml:space="preserve"> </w:t>
      </w:r>
    </w:p>
    <w:p w14:paraId="5CD03A16" w14:textId="21EDAD53" w:rsidR="00860D25" w:rsidRPr="00860D25" w:rsidRDefault="00860D25" w:rsidP="00632C28">
      <w:pPr>
        <w:spacing w:after="0"/>
        <w:ind w:firstLine="720"/>
        <w:jc w:val="both"/>
        <w:rPr>
          <w:lang w:val="pl-PL"/>
        </w:rPr>
      </w:pPr>
      <w:r w:rsidRPr="00860D25">
        <w:rPr>
          <w:lang w:val="pl-PL"/>
        </w:rPr>
        <w:t>Skarga została rozpoznana w trybie działu VIII Kodeksu postępowania administracyjnego. Komisja Skarg, Wniosków i Petycji przeprowadziła postępowanie wyjaśniające, zapoznała się z dokumentacją, wyjaśnieniami organu wykonawczego oraz opinią prawną sporządzoną na potrzeby Rady Gminy</w:t>
      </w:r>
      <w:r>
        <w:rPr>
          <w:lang w:val="pl-PL"/>
        </w:rPr>
        <w:t xml:space="preserve"> Gozdowo</w:t>
      </w:r>
      <w:r w:rsidRPr="00860D25">
        <w:rPr>
          <w:lang w:val="pl-PL"/>
        </w:rPr>
        <w:t>.</w:t>
      </w:r>
    </w:p>
    <w:p w14:paraId="7EB65317" w14:textId="60DC5AFB" w:rsidR="00860D25" w:rsidRPr="00860D25" w:rsidRDefault="00860D25" w:rsidP="00632C28">
      <w:pPr>
        <w:spacing w:after="0"/>
        <w:ind w:firstLine="720"/>
        <w:jc w:val="both"/>
        <w:rPr>
          <w:lang w:val="pl-PL"/>
        </w:rPr>
      </w:pPr>
      <w:r w:rsidRPr="00860D25">
        <w:rPr>
          <w:lang w:val="pl-PL"/>
        </w:rPr>
        <w:t>W toku postępowania umożliwiono Skarżącemu osobiste przedstawienie stanowiska oraz doprecyzowanie zarzutów.</w:t>
      </w:r>
    </w:p>
    <w:p w14:paraId="63847E73" w14:textId="0CF98E69" w:rsidR="00860D25" w:rsidRPr="00860D25" w:rsidRDefault="00860D25" w:rsidP="00632C28">
      <w:pPr>
        <w:spacing w:after="0"/>
        <w:ind w:firstLine="720"/>
        <w:jc w:val="both"/>
        <w:rPr>
          <w:lang w:val="pl-PL"/>
        </w:rPr>
      </w:pPr>
      <w:r w:rsidRPr="00860D25">
        <w:rPr>
          <w:lang w:val="pl-PL"/>
        </w:rPr>
        <w:t>Komisja zapoznała się z dokumentacją, wyjaśnieniami Sekretarza Gminy, opinią prawną sporządzoną na potrzeby Rady oraz informacjami ujawnionymi w Biuletynie Informacji Publicznej</w:t>
      </w:r>
      <w:r>
        <w:rPr>
          <w:lang w:val="pl-PL"/>
        </w:rPr>
        <w:t xml:space="preserve"> i dokumentacji przedłożonej przez organ wykonawczy Gminy</w:t>
      </w:r>
      <w:r w:rsidRPr="00860D25">
        <w:rPr>
          <w:lang w:val="pl-PL"/>
        </w:rPr>
        <w:t>.</w:t>
      </w:r>
    </w:p>
    <w:p w14:paraId="0CFC7773" w14:textId="7F783B65" w:rsidR="00860D25" w:rsidRPr="00860D25" w:rsidRDefault="00860D25" w:rsidP="00632C28">
      <w:pPr>
        <w:spacing w:after="0"/>
        <w:ind w:firstLine="720"/>
        <w:jc w:val="both"/>
        <w:rPr>
          <w:lang w:val="pl-PL"/>
        </w:rPr>
      </w:pPr>
      <w:r w:rsidRPr="00860D25">
        <w:rPr>
          <w:lang w:val="pl-PL"/>
        </w:rPr>
        <w:t xml:space="preserve">W głosowaniu w dniu 30 stycznia 2026 r. Komisja zarekomendowała uznanie skargi za bezzasadną (3 głosy „za”, 1 głos „przeciw”) </w:t>
      </w:r>
    </w:p>
    <w:p w14:paraId="2B581E1A" w14:textId="00CB293C" w:rsidR="00860D25" w:rsidRPr="00860D25" w:rsidRDefault="00860D25" w:rsidP="00632C28">
      <w:pPr>
        <w:spacing w:after="0"/>
        <w:jc w:val="both"/>
        <w:rPr>
          <w:lang w:val="pl-PL"/>
        </w:rPr>
      </w:pPr>
      <w:r>
        <w:rPr>
          <w:lang w:val="pl-PL"/>
        </w:rPr>
        <w:t>Wskazując na fakt, że z</w:t>
      </w:r>
      <w:r w:rsidRPr="00860D25">
        <w:rPr>
          <w:lang w:val="pl-PL"/>
        </w:rPr>
        <w:t>naczna część zarzutów zawartych w skardze miała charakter:</w:t>
      </w:r>
    </w:p>
    <w:p w14:paraId="6E878E21" w14:textId="0147A93D" w:rsidR="00860D25" w:rsidRPr="00860D25" w:rsidRDefault="00860D25" w:rsidP="00632C28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60D25">
        <w:rPr>
          <w:lang w:val="pl-PL"/>
        </w:rPr>
        <w:t>ogólnych ocen i opinii,</w:t>
      </w:r>
    </w:p>
    <w:p w14:paraId="61647B27" w14:textId="3E9582D3" w:rsidR="00860D25" w:rsidRPr="00860D25" w:rsidRDefault="00860D25" w:rsidP="00632C28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60D25">
        <w:rPr>
          <w:lang w:val="pl-PL"/>
        </w:rPr>
        <w:t>przypuszczeń i sugestii,</w:t>
      </w:r>
    </w:p>
    <w:p w14:paraId="66D5680C" w14:textId="6DCEFE79" w:rsidR="00860D25" w:rsidRPr="00860D25" w:rsidRDefault="00860D25" w:rsidP="00632C28">
      <w:pPr>
        <w:pStyle w:val="Akapitzlist"/>
        <w:numPr>
          <w:ilvl w:val="0"/>
          <w:numId w:val="10"/>
        </w:numPr>
        <w:spacing w:after="0"/>
        <w:jc w:val="both"/>
        <w:rPr>
          <w:lang w:val="pl-PL"/>
        </w:rPr>
      </w:pPr>
      <w:r w:rsidRPr="00860D25">
        <w:rPr>
          <w:lang w:val="pl-PL"/>
        </w:rPr>
        <w:t>twierdzeń niewskazujących konkretnych dat, zdarzeń ani dowodów.</w:t>
      </w:r>
    </w:p>
    <w:p w14:paraId="4B0CCD10" w14:textId="016D3435" w:rsidR="00860D25" w:rsidRPr="00860D25" w:rsidRDefault="00860D25" w:rsidP="00632C28">
      <w:pPr>
        <w:spacing w:after="0"/>
        <w:ind w:firstLine="360"/>
        <w:jc w:val="both"/>
        <w:rPr>
          <w:lang w:val="pl-PL"/>
        </w:rPr>
      </w:pPr>
      <w:r w:rsidRPr="00860D25">
        <w:rPr>
          <w:lang w:val="pl-PL"/>
        </w:rPr>
        <w:t>Skarga nie zawierała w wielu punktach precyzyjnego wskazania</w:t>
      </w:r>
      <w:r>
        <w:rPr>
          <w:lang w:val="pl-PL"/>
        </w:rPr>
        <w:t xml:space="preserve"> </w:t>
      </w:r>
      <w:r w:rsidRPr="00860D25">
        <w:rPr>
          <w:lang w:val="pl-PL"/>
        </w:rPr>
        <w:t>konkretnego naruszenia prawa,</w:t>
      </w:r>
      <w:r>
        <w:rPr>
          <w:lang w:val="pl-PL"/>
        </w:rPr>
        <w:t xml:space="preserve"> </w:t>
      </w:r>
      <w:r w:rsidRPr="00860D25">
        <w:rPr>
          <w:lang w:val="pl-PL"/>
        </w:rPr>
        <w:t>czasu i miejsca zdarzenia,</w:t>
      </w:r>
      <w:r>
        <w:rPr>
          <w:lang w:val="pl-PL"/>
        </w:rPr>
        <w:t xml:space="preserve"> </w:t>
      </w:r>
      <w:r w:rsidRPr="00860D25">
        <w:rPr>
          <w:lang w:val="pl-PL"/>
        </w:rPr>
        <w:t>osób odpowiedzialnych</w:t>
      </w:r>
      <w:r>
        <w:rPr>
          <w:lang w:val="pl-PL"/>
        </w:rPr>
        <w:t xml:space="preserve"> czy </w:t>
      </w:r>
      <w:r w:rsidRPr="00860D25">
        <w:rPr>
          <w:lang w:val="pl-PL"/>
        </w:rPr>
        <w:t>dowodów potwierdzających zarzuty.</w:t>
      </w:r>
    </w:p>
    <w:p w14:paraId="0B3C58BF" w14:textId="77777777" w:rsidR="00632C28" w:rsidRDefault="00860D25" w:rsidP="00632C28">
      <w:pPr>
        <w:spacing w:after="0"/>
        <w:ind w:firstLine="360"/>
        <w:jc w:val="both"/>
        <w:rPr>
          <w:lang w:val="pl-PL"/>
        </w:rPr>
      </w:pPr>
      <w:r>
        <w:rPr>
          <w:lang w:val="pl-PL"/>
        </w:rPr>
        <w:t>Wskazać przy tym należy, że p</w:t>
      </w:r>
      <w:r w:rsidRPr="00860D25">
        <w:rPr>
          <w:lang w:val="pl-PL"/>
        </w:rPr>
        <w:t>ostępowanie skargowe w trybie działu VIII k.p.a. nie może opierać się na domniemaniach ani ogólnych ocenach. Organ rozpoznający skargę nie jest uprawniony do konstruowania zarzutów za skarżącego ani do prowadzenia postępowania dowodowego w zakresie nieskonkretyzowanych twierdzeń.</w:t>
      </w:r>
      <w:r w:rsidR="00CA6CCB">
        <w:rPr>
          <w:lang w:val="pl-PL"/>
        </w:rPr>
        <w:t xml:space="preserve"> Ostatecznie jednak Komisji udało się ustalić zakres kierowanych zarzutów dotyczących: </w:t>
      </w:r>
    </w:p>
    <w:p w14:paraId="6DFC17DA" w14:textId="6BC58817" w:rsidR="00632C28" w:rsidRPr="00DF1887" w:rsidRDefault="00BD5966" w:rsidP="00DF1887">
      <w:pPr>
        <w:spacing w:after="0"/>
        <w:ind w:firstLine="360"/>
        <w:jc w:val="both"/>
        <w:rPr>
          <w:b/>
          <w:bCs/>
          <w:lang w:val="pl-PL"/>
        </w:rPr>
      </w:pPr>
      <w:r w:rsidRPr="00860D25">
        <w:rPr>
          <w:lang w:val="pl-PL"/>
        </w:rPr>
        <w:br/>
      </w:r>
      <w:r w:rsidR="00CA6CCB" w:rsidRPr="00CA6CCB">
        <w:rPr>
          <w:b/>
          <w:bCs/>
          <w:lang w:val="pl-PL"/>
        </w:rPr>
        <w:t>I</w:t>
      </w:r>
      <w:r w:rsidRPr="00CA6CCB">
        <w:rPr>
          <w:b/>
          <w:bCs/>
          <w:lang w:val="pl-PL"/>
        </w:rPr>
        <w:t>. Zatrudnienie radnych</w:t>
      </w:r>
      <w:r w:rsidR="00CA6CCB" w:rsidRPr="00CA6CCB">
        <w:rPr>
          <w:b/>
          <w:bCs/>
          <w:lang w:val="pl-PL"/>
        </w:rPr>
        <w:t xml:space="preserve"> w jednostkach organizacyjnych gminy oraz ich rodzin</w:t>
      </w:r>
      <w:r w:rsidR="00CA6CCB">
        <w:rPr>
          <w:b/>
          <w:bCs/>
          <w:lang w:val="pl-PL"/>
        </w:rPr>
        <w:t xml:space="preserve">. </w:t>
      </w:r>
    </w:p>
    <w:p w14:paraId="784ACF59" w14:textId="77777777" w:rsidR="00CA6CCB" w:rsidRPr="00CA6CCB" w:rsidRDefault="00CA6CCB" w:rsidP="00632C2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A6CCB">
        <w:rPr>
          <w:b/>
          <w:bCs/>
        </w:rPr>
        <w:t xml:space="preserve"> </w:t>
      </w:r>
      <w:r w:rsidRPr="00CA6CCB">
        <w:rPr>
          <w:rFonts w:asciiTheme="minorHAnsi" w:hAnsiTheme="minorHAnsi"/>
          <w:color w:val="000000"/>
          <w:sz w:val="22"/>
          <w:szCs w:val="22"/>
        </w:rPr>
        <w:t>Komisja ustaliła, że osoby wskazywane w skardze:</w:t>
      </w:r>
    </w:p>
    <w:p w14:paraId="690181BD" w14:textId="77777777" w:rsidR="00CA6CCB" w:rsidRPr="00CA6CCB" w:rsidRDefault="00CA6CCB" w:rsidP="00632C28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A6CCB">
        <w:rPr>
          <w:rFonts w:asciiTheme="minorHAnsi" w:hAnsiTheme="minorHAnsi"/>
          <w:color w:val="000000"/>
          <w:sz w:val="22"/>
          <w:szCs w:val="22"/>
        </w:rPr>
        <w:t>były zatrudnione w jednostkach organizacyjnych gminy przed uzyskaniem mandatu radnego,</w:t>
      </w:r>
    </w:p>
    <w:p w14:paraId="79DB2BF7" w14:textId="77777777" w:rsidR="00CA6CCB" w:rsidRPr="00CA6CCB" w:rsidRDefault="00CA6CCB" w:rsidP="00632C28">
      <w:pPr>
        <w:pStyle w:val="NormalnyWeb"/>
        <w:numPr>
          <w:ilvl w:val="0"/>
          <w:numId w:val="11"/>
        </w:numPr>
        <w:spacing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A6CCB">
        <w:rPr>
          <w:rFonts w:asciiTheme="minorHAnsi" w:hAnsiTheme="minorHAnsi"/>
          <w:color w:val="000000"/>
          <w:sz w:val="22"/>
          <w:szCs w:val="22"/>
        </w:rPr>
        <w:t>nie zajmują stanowisk kierowniczych,</w:t>
      </w:r>
    </w:p>
    <w:p w14:paraId="683289AE" w14:textId="77777777" w:rsidR="00CA6CCB" w:rsidRPr="00CA6CCB" w:rsidRDefault="00CA6CCB" w:rsidP="00632C28">
      <w:pPr>
        <w:pStyle w:val="NormalnyWeb"/>
        <w:numPr>
          <w:ilvl w:val="0"/>
          <w:numId w:val="11"/>
        </w:numPr>
        <w:spacing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A6CCB">
        <w:rPr>
          <w:rFonts w:asciiTheme="minorHAnsi" w:hAnsiTheme="minorHAnsi"/>
          <w:color w:val="000000"/>
          <w:sz w:val="22"/>
          <w:szCs w:val="22"/>
        </w:rPr>
        <w:t>ich wynagrodzenia ustalane są zgodnie z ustawą o pracownikach samorządowych,</w:t>
      </w:r>
    </w:p>
    <w:p w14:paraId="75D8C813" w14:textId="217F5FED" w:rsidR="00CA6CCB" w:rsidRPr="00CA6CCB" w:rsidRDefault="00CA6CCB" w:rsidP="00632C28">
      <w:pPr>
        <w:pStyle w:val="NormalnyWeb"/>
        <w:numPr>
          <w:ilvl w:val="0"/>
          <w:numId w:val="11"/>
        </w:numPr>
        <w:spacing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A6CCB">
        <w:rPr>
          <w:rFonts w:asciiTheme="minorHAnsi" w:hAnsiTheme="minorHAnsi"/>
          <w:color w:val="000000"/>
          <w:sz w:val="22"/>
          <w:szCs w:val="22"/>
        </w:rPr>
        <w:t xml:space="preserve">dane dotyczące wynagrodzeń </w:t>
      </w:r>
      <w:r w:rsidR="00632C28">
        <w:rPr>
          <w:rFonts w:asciiTheme="minorHAnsi" w:hAnsiTheme="minorHAnsi"/>
          <w:color w:val="000000"/>
          <w:sz w:val="22"/>
          <w:szCs w:val="22"/>
        </w:rPr>
        <w:t>R</w:t>
      </w:r>
      <w:r w:rsidRPr="00CA6CCB">
        <w:rPr>
          <w:rFonts w:asciiTheme="minorHAnsi" w:hAnsiTheme="minorHAnsi"/>
          <w:color w:val="000000"/>
          <w:sz w:val="22"/>
          <w:szCs w:val="22"/>
        </w:rPr>
        <w:t>adnych są jawne i ujawnione w oświadczeniach majątkowych.</w:t>
      </w:r>
    </w:p>
    <w:p w14:paraId="0F393632" w14:textId="33A16E69" w:rsidR="00CA6CCB" w:rsidRDefault="00CA6CCB" w:rsidP="00632C28">
      <w:pPr>
        <w:pStyle w:val="NormalnyWeb"/>
        <w:spacing w:after="0" w:afterAutospacing="0"/>
        <w:ind w:firstLine="36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Mając na uwadze powyższe n</w:t>
      </w:r>
      <w:r w:rsidRPr="00CA6CCB">
        <w:rPr>
          <w:rFonts w:asciiTheme="minorHAnsi" w:hAnsiTheme="minorHAnsi"/>
          <w:color w:val="000000"/>
          <w:sz w:val="22"/>
          <w:szCs w:val="22"/>
        </w:rPr>
        <w:t xml:space="preserve">ie stwierdzono naruszenia art. 24f ustawy o samorządzie gminnym. Sam fakt pokrewieństwa z </w:t>
      </w:r>
      <w:r w:rsidR="00632C28">
        <w:rPr>
          <w:rFonts w:asciiTheme="minorHAnsi" w:hAnsiTheme="minorHAnsi"/>
          <w:color w:val="000000"/>
          <w:sz w:val="22"/>
          <w:szCs w:val="22"/>
        </w:rPr>
        <w:t>R</w:t>
      </w:r>
      <w:r w:rsidRPr="00CA6CCB">
        <w:rPr>
          <w:rFonts w:asciiTheme="minorHAnsi" w:hAnsiTheme="minorHAnsi"/>
          <w:color w:val="000000"/>
          <w:sz w:val="22"/>
          <w:szCs w:val="22"/>
        </w:rPr>
        <w:t>adnym nie stanowi naruszenia prawa i nie może być utożsamiany z nielegalnym zatrudnieniem.</w:t>
      </w:r>
    </w:p>
    <w:p w14:paraId="4168FDA0" w14:textId="3807750A" w:rsidR="00632C28" w:rsidRPr="00632C28" w:rsidRDefault="00BD5966" w:rsidP="00632C28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860D25">
        <w:rPr>
          <w:sz w:val="22"/>
          <w:szCs w:val="22"/>
        </w:rPr>
        <w:br/>
      </w:r>
      <w:r w:rsidRPr="00632C28">
        <w:rPr>
          <w:rFonts w:asciiTheme="minorHAnsi" w:hAnsiTheme="minorHAnsi"/>
          <w:b/>
          <w:bCs/>
          <w:sz w:val="22"/>
          <w:szCs w:val="22"/>
        </w:rPr>
        <w:t>I</w:t>
      </w:r>
      <w:r w:rsidR="00CA6CCB" w:rsidRPr="00632C28">
        <w:rPr>
          <w:rFonts w:asciiTheme="minorHAnsi" w:hAnsiTheme="minorHAnsi"/>
          <w:b/>
          <w:bCs/>
          <w:sz w:val="22"/>
          <w:szCs w:val="22"/>
        </w:rPr>
        <w:t>I</w:t>
      </w:r>
      <w:r w:rsidRPr="00632C28">
        <w:rPr>
          <w:rFonts w:asciiTheme="minorHAnsi" w:hAnsiTheme="minorHAnsi"/>
          <w:b/>
          <w:bCs/>
          <w:sz w:val="22"/>
          <w:szCs w:val="22"/>
        </w:rPr>
        <w:t>. Gospodarka odpadami</w:t>
      </w:r>
    </w:p>
    <w:p w14:paraId="4BF03D90" w14:textId="77777777" w:rsidR="00CA6CCB" w:rsidRPr="00632C28" w:rsidRDefault="00CA6CCB" w:rsidP="00632C28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/>
          <w:sz w:val="22"/>
          <w:szCs w:val="22"/>
        </w:rPr>
      </w:pPr>
      <w:r w:rsidRPr="00632C28">
        <w:rPr>
          <w:rFonts w:asciiTheme="minorHAnsi" w:hAnsiTheme="minorHAnsi"/>
          <w:sz w:val="22"/>
          <w:szCs w:val="22"/>
        </w:rPr>
        <w:t>Zgodnie z art. 6r i 6k ustawy o utrzymaniu czystości i porządku w gminach:</w:t>
      </w:r>
    </w:p>
    <w:p w14:paraId="5A769A13" w14:textId="2DC7C7D5" w:rsidR="00CA6CCB" w:rsidRPr="00632C28" w:rsidRDefault="00CA6CCB" w:rsidP="00632C2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32C28">
        <w:rPr>
          <w:rFonts w:asciiTheme="minorHAnsi" w:hAnsiTheme="minorHAnsi"/>
          <w:sz w:val="22"/>
          <w:szCs w:val="22"/>
        </w:rPr>
        <w:t xml:space="preserve">system gospodarowania odpadami </w:t>
      </w:r>
      <w:r w:rsidR="00632C28" w:rsidRPr="00632C28">
        <w:rPr>
          <w:rFonts w:asciiTheme="minorHAnsi" w:hAnsiTheme="minorHAnsi"/>
          <w:sz w:val="22"/>
          <w:szCs w:val="22"/>
        </w:rPr>
        <w:t>powinien</w:t>
      </w:r>
      <w:r w:rsidRPr="00632C28">
        <w:rPr>
          <w:rFonts w:asciiTheme="minorHAnsi" w:hAnsiTheme="minorHAnsi"/>
          <w:sz w:val="22"/>
          <w:szCs w:val="22"/>
        </w:rPr>
        <w:t xml:space="preserve"> się bilansować,</w:t>
      </w:r>
    </w:p>
    <w:p w14:paraId="13019FCD" w14:textId="77777777" w:rsidR="00CA6CCB" w:rsidRPr="00632C28" w:rsidRDefault="00CA6CCB" w:rsidP="00632C2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32C28">
        <w:rPr>
          <w:rFonts w:asciiTheme="minorHAnsi" w:hAnsiTheme="minorHAnsi"/>
          <w:sz w:val="22"/>
          <w:szCs w:val="22"/>
        </w:rPr>
        <w:t>stawki ustala wyłącznie Rada Gminy w drodze uchwały,</w:t>
      </w:r>
    </w:p>
    <w:p w14:paraId="405C273B" w14:textId="77777777" w:rsidR="00CA6CCB" w:rsidRPr="00632C28" w:rsidRDefault="00CA6CCB" w:rsidP="00632C2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32C28">
        <w:rPr>
          <w:rFonts w:asciiTheme="minorHAnsi" w:hAnsiTheme="minorHAnsi"/>
          <w:sz w:val="22"/>
          <w:szCs w:val="22"/>
        </w:rPr>
        <w:t>system nie może generować zysku.</w:t>
      </w:r>
    </w:p>
    <w:p w14:paraId="06351EDA" w14:textId="77777777" w:rsidR="00632C28" w:rsidRPr="00632C28" w:rsidRDefault="00632C28" w:rsidP="00632C28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61AF26ED" w14:textId="644A01D4" w:rsidR="00CA6CCB" w:rsidRPr="00632C28" w:rsidRDefault="00CA6CCB" w:rsidP="00632C28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/>
          <w:sz w:val="22"/>
          <w:szCs w:val="22"/>
        </w:rPr>
      </w:pPr>
      <w:r w:rsidRPr="00632C28">
        <w:rPr>
          <w:rFonts w:asciiTheme="minorHAnsi" w:hAnsiTheme="minorHAnsi"/>
          <w:sz w:val="22"/>
          <w:szCs w:val="22"/>
        </w:rPr>
        <w:t>Z przedstawionej Komisji kalkulacji wynika, że system w Gminie Gozdowo nie generuje nadwyżki, a gmina w 2025 r. dopłaciła do systemu ok. 680–700 tys. zł.  Jedocześnie wskazać należy, że po dokonaniu analizy postępowania przetargowego dot. odbioru odpadów z terenu gminy Gozdowo na rok 2026 wynika, że nawet aktualna stawka nie daje gwarancji, aby system w roku 2026 się zbilansował i najpewniej Gmina zmuszona będzie dopłacić do systemu ze środków własnych. Ponadto skarga nie wykazała błędów rachunkowych ani naruszenia przepisów prawa.</w:t>
      </w:r>
    </w:p>
    <w:p w14:paraId="250F4437" w14:textId="4035D90C" w:rsidR="00CA6CCB" w:rsidRPr="00CA6CCB" w:rsidRDefault="00BD5966" w:rsidP="00632C28">
      <w:pPr>
        <w:pStyle w:val="NormalnyWeb"/>
        <w:spacing w:after="0" w:afterAutospacing="0"/>
        <w:ind w:firstLine="360"/>
        <w:jc w:val="both"/>
        <w:rPr>
          <w:sz w:val="22"/>
          <w:szCs w:val="22"/>
        </w:rPr>
      </w:pPr>
      <w:r w:rsidRPr="00860D25">
        <w:rPr>
          <w:sz w:val="22"/>
          <w:szCs w:val="22"/>
        </w:rPr>
        <w:br/>
      </w:r>
      <w:r w:rsidR="00CA6CCB">
        <w:rPr>
          <w:b/>
          <w:bCs/>
          <w:sz w:val="22"/>
          <w:szCs w:val="22"/>
        </w:rPr>
        <w:t>III</w:t>
      </w:r>
      <w:r w:rsidRPr="00CA6CCB">
        <w:rPr>
          <w:b/>
          <w:bCs/>
          <w:sz w:val="22"/>
          <w:szCs w:val="22"/>
        </w:rPr>
        <w:t>. Konkurs na kierownika jednostki</w:t>
      </w:r>
      <w:r w:rsidR="00632C28">
        <w:rPr>
          <w:b/>
          <w:bCs/>
          <w:sz w:val="22"/>
          <w:szCs w:val="22"/>
        </w:rPr>
        <w:t xml:space="preserve"> (Biblioteka Gmina) </w:t>
      </w:r>
    </w:p>
    <w:p w14:paraId="1FDCE945" w14:textId="77777777" w:rsidR="00CA6CCB" w:rsidRPr="00CA6CCB" w:rsidRDefault="00CA6CCB" w:rsidP="00632C28">
      <w:pPr>
        <w:spacing w:after="0"/>
        <w:jc w:val="both"/>
        <w:rPr>
          <w:lang w:val="pl-PL"/>
        </w:rPr>
      </w:pPr>
      <w:r w:rsidRPr="00CA6CCB">
        <w:rPr>
          <w:lang w:val="pl-PL"/>
        </w:rPr>
        <w:t>Komisja ustaliła, że:</w:t>
      </w:r>
    </w:p>
    <w:p w14:paraId="78EDB708" w14:textId="027C732B" w:rsidR="00CA6CCB" w:rsidRDefault="00CA6CCB" w:rsidP="00632C28">
      <w:pPr>
        <w:pStyle w:val="Akapitzlist"/>
        <w:numPr>
          <w:ilvl w:val="0"/>
          <w:numId w:val="14"/>
        </w:numPr>
        <w:spacing w:after="0"/>
        <w:jc w:val="both"/>
        <w:rPr>
          <w:lang w:val="pl-PL"/>
        </w:rPr>
      </w:pPr>
      <w:r w:rsidRPr="00CA6CCB">
        <w:rPr>
          <w:lang w:val="pl-PL"/>
        </w:rPr>
        <w:t>konkurs został przeprowadzony zgodnie z procedurą,</w:t>
      </w:r>
    </w:p>
    <w:p w14:paraId="5293AC3C" w14:textId="77777777" w:rsidR="00CA6CCB" w:rsidRDefault="00CA6CCB" w:rsidP="00632C28">
      <w:pPr>
        <w:pStyle w:val="Akapitzlist"/>
        <w:numPr>
          <w:ilvl w:val="0"/>
          <w:numId w:val="14"/>
        </w:numPr>
        <w:spacing w:after="0"/>
        <w:jc w:val="both"/>
        <w:rPr>
          <w:lang w:val="pl-PL"/>
        </w:rPr>
      </w:pPr>
      <w:r w:rsidRPr="00CA6CCB">
        <w:rPr>
          <w:lang w:val="pl-PL"/>
        </w:rPr>
        <w:t>kandydatka spełniała wymagania formalne,</w:t>
      </w:r>
    </w:p>
    <w:p w14:paraId="06435D15" w14:textId="77777777" w:rsidR="00CA6CCB" w:rsidRDefault="00CA6CCB" w:rsidP="00632C28">
      <w:pPr>
        <w:pStyle w:val="Akapitzlist"/>
        <w:numPr>
          <w:ilvl w:val="0"/>
          <w:numId w:val="14"/>
        </w:numPr>
        <w:spacing w:after="0"/>
        <w:jc w:val="both"/>
        <w:rPr>
          <w:lang w:val="pl-PL"/>
        </w:rPr>
      </w:pPr>
      <w:r w:rsidRPr="00CA6CCB">
        <w:rPr>
          <w:lang w:val="pl-PL"/>
        </w:rPr>
        <w:t>złożyła zaświadczenie z Krajowego Rejestru Karnego o niekaralności,</w:t>
      </w:r>
    </w:p>
    <w:p w14:paraId="694B9868" w14:textId="274A2E3E" w:rsidR="00CA6CCB" w:rsidRDefault="00CA6CCB" w:rsidP="00632C28">
      <w:pPr>
        <w:pStyle w:val="Akapitzlist"/>
        <w:numPr>
          <w:ilvl w:val="0"/>
          <w:numId w:val="14"/>
        </w:numPr>
        <w:spacing w:after="0"/>
        <w:jc w:val="both"/>
        <w:rPr>
          <w:lang w:val="pl-PL"/>
        </w:rPr>
      </w:pPr>
      <w:r>
        <w:rPr>
          <w:lang w:val="pl-PL"/>
        </w:rPr>
        <w:t xml:space="preserve">kandydatka złożyła oświadczenie o niekaralności, </w:t>
      </w:r>
    </w:p>
    <w:p w14:paraId="61569597" w14:textId="0BFADF47" w:rsidR="00CA6CCB" w:rsidRPr="00CA6CCB" w:rsidRDefault="00CA6CCB" w:rsidP="00632C28">
      <w:pPr>
        <w:pStyle w:val="Akapitzlist"/>
        <w:numPr>
          <w:ilvl w:val="0"/>
          <w:numId w:val="14"/>
        </w:numPr>
        <w:spacing w:after="0"/>
        <w:jc w:val="both"/>
        <w:rPr>
          <w:lang w:val="pl-PL"/>
        </w:rPr>
      </w:pPr>
      <w:r w:rsidRPr="00CA6CCB">
        <w:rPr>
          <w:lang w:val="pl-PL"/>
        </w:rPr>
        <w:t>brak jest prawomocnego wyroku skazującego</w:t>
      </w:r>
      <w:r>
        <w:rPr>
          <w:lang w:val="pl-PL"/>
        </w:rPr>
        <w:t>.</w:t>
      </w:r>
    </w:p>
    <w:p w14:paraId="266323EF" w14:textId="528D2B4D" w:rsidR="00CA6CCB" w:rsidRDefault="00CA6CCB" w:rsidP="00632C28">
      <w:pPr>
        <w:spacing w:after="0"/>
        <w:ind w:firstLine="360"/>
        <w:jc w:val="both"/>
        <w:rPr>
          <w:lang w:val="pl-PL"/>
        </w:rPr>
      </w:pPr>
      <w:r w:rsidRPr="00CA6CCB">
        <w:rPr>
          <w:lang w:val="pl-PL"/>
        </w:rPr>
        <w:t xml:space="preserve">Zgodnie z art. 42 ust. 3 Konstytucji RP obowiązuje zasada domniemania niewinności. Organ </w:t>
      </w:r>
      <w:r w:rsidR="00632C28">
        <w:rPr>
          <w:lang w:val="pl-PL"/>
        </w:rPr>
        <w:t>G</w:t>
      </w:r>
      <w:r w:rsidRPr="00CA6CCB">
        <w:rPr>
          <w:lang w:val="pl-PL"/>
        </w:rPr>
        <w:t>miny nie mogą odmówić zatrudnienia wyłącznie na podstawie informacji medialnych lub nieprawomocnego orzeczenia.</w:t>
      </w:r>
      <w:r w:rsidR="00632C28">
        <w:rPr>
          <w:lang w:val="pl-PL"/>
        </w:rPr>
        <w:t xml:space="preserve"> </w:t>
      </w:r>
      <w:r>
        <w:rPr>
          <w:lang w:val="pl-PL"/>
        </w:rPr>
        <w:t xml:space="preserve"> </w:t>
      </w:r>
    </w:p>
    <w:p w14:paraId="2FB7D77E" w14:textId="77777777" w:rsidR="00632C28" w:rsidRDefault="00632C28" w:rsidP="00632C28">
      <w:pPr>
        <w:spacing w:after="0"/>
        <w:jc w:val="both"/>
        <w:rPr>
          <w:b/>
          <w:bCs/>
          <w:lang w:val="pl-PL"/>
        </w:rPr>
      </w:pPr>
    </w:p>
    <w:p w14:paraId="1216108F" w14:textId="6CD48323" w:rsidR="00CA6CCB" w:rsidRPr="00CA6CCB" w:rsidRDefault="00CA6CCB" w:rsidP="00632C28">
      <w:pPr>
        <w:spacing w:after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IV</w:t>
      </w:r>
      <w:r w:rsidR="00BD5966" w:rsidRPr="00CA6CCB">
        <w:rPr>
          <w:b/>
          <w:bCs/>
          <w:lang w:val="pl-PL"/>
        </w:rPr>
        <w:t>. Wynagrodzenie Wójta</w:t>
      </w:r>
      <w:r w:rsidRPr="00CA6CCB">
        <w:rPr>
          <w:b/>
          <w:bCs/>
          <w:lang w:val="pl-PL"/>
        </w:rPr>
        <w:t xml:space="preserve"> Gminy Gozdowo </w:t>
      </w:r>
    </w:p>
    <w:p w14:paraId="392342A7" w14:textId="4A02B78B" w:rsidR="009D7E01" w:rsidRDefault="009D7E01" w:rsidP="00632C28">
      <w:pPr>
        <w:spacing w:after="0"/>
        <w:ind w:firstLine="720"/>
        <w:jc w:val="both"/>
        <w:rPr>
          <w:lang w:val="pl-PL"/>
        </w:rPr>
      </w:pPr>
      <w:r w:rsidRPr="009D7E01">
        <w:rPr>
          <w:lang w:val="pl-PL"/>
        </w:rPr>
        <w:t>Wynagrodzenie Wójta ustala wyłącznie Rada Gminy w drodze uchwały, w granicach określonych rozporządzeniem Rady Ministrów. Wójt nie posiada kompetencji do samodzielnego ustalania ani zmiany własnego wynagrodzenia.</w:t>
      </w:r>
      <w:r>
        <w:rPr>
          <w:lang w:val="pl-PL"/>
        </w:rPr>
        <w:t xml:space="preserve">  Analizując stan faktyczny n</w:t>
      </w:r>
      <w:r w:rsidRPr="009D7E01">
        <w:rPr>
          <w:lang w:val="pl-PL"/>
        </w:rPr>
        <w:t>ie stwierdzono naruszenia przepisów w zakresie ustalenia wynagrodzenia</w:t>
      </w:r>
      <w:r>
        <w:rPr>
          <w:lang w:val="pl-PL"/>
        </w:rPr>
        <w:t>, a w szczególności odpowiada on wysokości wskazanej w w/w rozporządzeniu</w:t>
      </w:r>
      <w:r w:rsidR="00632C28">
        <w:rPr>
          <w:lang w:val="pl-PL"/>
        </w:rPr>
        <w:t>.</w:t>
      </w:r>
    </w:p>
    <w:p w14:paraId="1ECDBE3E" w14:textId="77777777" w:rsidR="00632C28" w:rsidRDefault="00632C28" w:rsidP="00632C28">
      <w:pPr>
        <w:spacing w:after="0"/>
        <w:ind w:firstLine="720"/>
        <w:jc w:val="both"/>
        <w:rPr>
          <w:lang w:val="pl-PL"/>
        </w:rPr>
      </w:pPr>
    </w:p>
    <w:p w14:paraId="0C8E45AD" w14:textId="4913B0E0" w:rsidR="00632C28" w:rsidRPr="009D7E01" w:rsidRDefault="009D7E01" w:rsidP="00632C28">
      <w:pPr>
        <w:spacing w:after="0"/>
        <w:jc w:val="both"/>
        <w:rPr>
          <w:b/>
          <w:bCs/>
          <w:lang w:val="pl-PL"/>
        </w:rPr>
      </w:pPr>
      <w:r w:rsidRPr="009D7E01">
        <w:rPr>
          <w:b/>
          <w:bCs/>
          <w:lang w:val="pl-PL"/>
        </w:rPr>
        <w:t>V. Pozostałe zarzuty</w:t>
      </w:r>
    </w:p>
    <w:p w14:paraId="3C06D8FF" w14:textId="77777777" w:rsidR="009D7E01" w:rsidRPr="009D7E01" w:rsidRDefault="009D7E01" w:rsidP="00632C28">
      <w:pPr>
        <w:spacing w:after="0"/>
        <w:jc w:val="both"/>
        <w:rPr>
          <w:lang w:val="pl-PL"/>
        </w:rPr>
      </w:pPr>
      <w:r w:rsidRPr="009D7E01">
        <w:rPr>
          <w:lang w:val="pl-PL"/>
        </w:rPr>
        <w:t>W zakresie zarzutów dotyczących:</w:t>
      </w:r>
    </w:p>
    <w:p w14:paraId="6DBF81F4" w14:textId="3395FD5C" w:rsidR="009D7E01" w:rsidRDefault="009D7E01" w:rsidP="00632C28">
      <w:pPr>
        <w:pStyle w:val="Akapitzlist"/>
        <w:numPr>
          <w:ilvl w:val="0"/>
          <w:numId w:val="15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korzystania z samochodu służbowego,</w:t>
      </w:r>
    </w:p>
    <w:p w14:paraId="66E96D3E" w14:textId="4F04B25E" w:rsidR="009D7E01" w:rsidRDefault="009D7E01" w:rsidP="00632C28">
      <w:pPr>
        <w:pStyle w:val="Akapitzlist"/>
        <w:numPr>
          <w:ilvl w:val="0"/>
          <w:numId w:val="15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„układów personalnych</w:t>
      </w:r>
      <w:r>
        <w:rPr>
          <w:lang w:val="pl-PL"/>
        </w:rPr>
        <w:t>”</w:t>
      </w:r>
      <w:r w:rsidRPr="009D7E01">
        <w:rPr>
          <w:lang w:val="pl-PL"/>
        </w:rPr>
        <w:t>,</w:t>
      </w:r>
    </w:p>
    <w:p w14:paraId="2410CA41" w14:textId="023B951F" w:rsidR="009D7E01" w:rsidRDefault="009D7E01" w:rsidP="00632C28">
      <w:pPr>
        <w:pStyle w:val="Akapitzlist"/>
        <w:numPr>
          <w:ilvl w:val="0"/>
          <w:numId w:val="15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rzekomego „oferowania czegoś „za coś”,</w:t>
      </w:r>
    </w:p>
    <w:p w14:paraId="332BD437" w14:textId="77777777" w:rsidR="009D7E01" w:rsidRPr="009D7E01" w:rsidRDefault="009D7E01" w:rsidP="00632C28">
      <w:pPr>
        <w:pStyle w:val="Akapitzlist"/>
        <w:numPr>
          <w:ilvl w:val="0"/>
          <w:numId w:val="15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nieprawidłowości przy wnioskach o dofinansowanie,</w:t>
      </w:r>
    </w:p>
    <w:p w14:paraId="1CA277A2" w14:textId="14ED5257" w:rsidR="009D7E01" w:rsidRPr="009D7E01" w:rsidRDefault="009D7E01" w:rsidP="00632C28">
      <w:pPr>
        <w:spacing w:after="0"/>
        <w:ind w:firstLine="360"/>
        <w:jc w:val="both"/>
        <w:rPr>
          <w:lang w:val="pl-PL"/>
        </w:rPr>
      </w:pPr>
      <w:r>
        <w:rPr>
          <w:lang w:val="pl-PL"/>
        </w:rPr>
        <w:t>S</w:t>
      </w:r>
      <w:r w:rsidRPr="009D7E01">
        <w:rPr>
          <w:lang w:val="pl-PL"/>
        </w:rPr>
        <w:t>karżący nie przedstawił żadnych dowodów ani skonkretyzowanych okoliczności pozwalających na ich weryfikację.</w:t>
      </w:r>
      <w:r>
        <w:rPr>
          <w:lang w:val="pl-PL"/>
        </w:rPr>
        <w:t xml:space="preserve"> Ponadto należy odnieść się do </w:t>
      </w:r>
      <w:r w:rsidR="00632C28">
        <w:rPr>
          <w:lang w:val="pl-PL"/>
        </w:rPr>
        <w:t>faktu,</w:t>
      </w:r>
      <w:r>
        <w:rPr>
          <w:lang w:val="pl-PL"/>
        </w:rPr>
        <w:t xml:space="preserve"> że odmowa uzyskania przez Skarżącego dofinasowania nie została </w:t>
      </w:r>
      <w:r w:rsidR="00632C28">
        <w:rPr>
          <w:lang w:val="pl-PL"/>
        </w:rPr>
        <w:t xml:space="preserve">w żaden sposób zawiniona </w:t>
      </w:r>
      <w:r>
        <w:rPr>
          <w:lang w:val="pl-PL"/>
        </w:rPr>
        <w:t xml:space="preserve">przez Gminę </w:t>
      </w:r>
      <w:r>
        <w:rPr>
          <w:lang w:val="pl-PL"/>
        </w:rPr>
        <w:lastRenderedPageBreak/>
        <w:t xml:space="preserve">Gozdowo z uwagi na fakt, iż podmiotem odpowiedzialnym za udzielenie dofinasowania nie jest Gmina a  </w:t>
      </w:r>
      <w:r w:rsidRPr="009D7E01">
        <w:rPr>
          <w:lang w:val="pl-PL"/>
        </w:rPr>
        <w:t>Wojewódzki Fundusz Ochrony Środowiska i Gospodarki Wodnej (</w:t>
      </w:r>
      <w:proofErr w:type="spellStart"/>
      <w:r w:rsidRPr="009D7E01">
        <w:rPr>
          <w:lang w:val="pl-PL"/>
        </w:rPr>
        <w:t>WFOŚiGW</w:t>
      </w:r>
      <w:proofErr w:type="spellEnd"/>
      <w:r w:rsidRPr="009D7E01">
        <w:rPr>
          <w:lang w:val="pl-PL"/>
        </w:rPr>
        <w:t>) właściwy dla miejsca położenia nieruchomości.</w:t>
      </w:r>
      <w:r>
        <w:rPr>
          <w:lang w:val="pl-PL"/>
        </w:rPr>
        <w:t xml:space="preserve"> </w:t>
      </w:r>
      <w:r w:rsidRPr="009D7E01">
        <w:rPr>
          <w:lang w:val="pl-PL"/>
        </w:rPr>
        <w:t xml:space="preserve">To </w:t>
      </w:r>
      <w:proofErr w:type="spellStart"/>
      <w:r w:rsidRPr="009D7E01">
        <w:rPr>
          <w:lang w:val="pl-PL"/>
        </w:rPr>
        <w:t>WFOŚiGW</w:t>
      </w:r>
      <w:proofErr w:type="spellEnd"/>
      <w:r w:rsidRPr="009D7E01">
        <w:rPr>
          <w:lang w:val="pl-PL"/>
        </w:rPr>
        <w:t>:</w:t>
      </w:r>
    </w:p>
    <w:p w14:paraId="1FD447C3" w14:textId="193DBA5C" w:rsid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przyjmuje wniosek,</w:t>
      </w:r>
    </w:p>
    <w:p w14:paraId="2DD1C960" w14:textId="77777777" w:rsid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dokonuje oceny formalnej i merytorycznej,</w:t>
      </w:r>
    </w:p>
    <w:p w14:paraId="642730EE" w14:textId="77777777" w:rsid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podejmuje decyzję o przyznaniu dofinansowania,</w:t>
      </w:r>
    </w:p>
    <w:p w14:paraId="4E8CF81F" w14:textId="77777777" w:rsid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zawiera umowę o dofinansowanie z beneficjentem,</w:t>
      </w:r>
    </w:p>
    <w:p w14:paraId="1117990D" w14:textId="77777777" w:rsid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kontroluje realizację przedsięwzięcia,</w:t>
      </w:r>
    </w:p>
    <w:p w14:paraId="33790917" w14:textId="51574EC1" w:rsidR="009D7E01" w:rsidRPr="009D7E01" w:rsidRDefault="009D7E01" w:rsidP="00632C28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9D7E01">
        <w:rPr>
          <w:lang w:val="pl-PL"/>
        </w:rPr>
        <w:t>dokonuje wypłaty środków.</w:t>
      </w:r>
    </w:p>
    <w:p w14:paraId="1AE35970" w14:textId="77777777" w:rsidR="00632C28" w:rsidRDefault="00632C28" w:rsidP="00632C28">
      <w:pPr>
        <w:spacing w:after="0"/>
        <w:ind w:firstLine="360"/>
        <w:jc w:val="both"/>
        <w:rPr>
          <w:lang w:val="pl-PL"/>
        </w:rPr>
      </w:pPr>
    </w:p>
    <w:p w14:paraId="33BDF7BA" w14:textId="0DC50945" w:rsidR="009D7E01" w:rsidRPr="009D7E01" w:rsidRDefault="009D7E01" w:rsidP="00632C28">
      <w:pPr>
        <w:spacing w:after="0"/>
        <w:ind w:firstLine="360"/>
        <w:jc w:val="both"/>
        <w:rPr>
          <w:lang w:val="pl-PL"/>
        </w:rPr>
      </w:pPr>
      <w:r w:rsidRPr="009D7E01">
        <w:rPr>
          <w:lang w:val="pl-PL"/>
        </w:rPr>
        <w:t>Rada Gminy Gozdowo akceptuje stanowisko Komisji Skarg Wniosków i Petycji i</w:t>
      </w:r>
      <w:r w:rsidR="00632C28">
        <w:rPr>
          <w:lang w:val="pl-PL"/>
        </w:rPr>
        <w:t xml:space="preserve"> podzielając jej ustalenia</w:t>
      </w:r>
      <w:r w:rsidRPr="009D7E01">
        <w:rPr>
          <w:lang w:val="pl-PL"/>
        </w:rPr>
        <w:t xml:space="preserve">  nie stwierdza naruszenia prawa ani nienależytego wykonywania zadań</w:t>
      </w:r>
      <w:r w:rsidR="00632C28">
        <w:rPr>
          <w:lang w:val="pl-PL"/>
        </w:rPr>
        <w:t xml:space="preserve"> organów skazanych w skardze. </w:t>
      </w:r>
    </w:p>
    <w:p w14:paraId="5DE8557F" w14:textId="448EC23A" w:rsidR="009D7E01" w:rsidRDefault="009D7E01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  <w:r w:rsidRPr="009D7E01">
        <w:rPr>
          <w:rFonts w:asciiTheme="minorHAnsi" w:hAnsiTheme="minorHAnsi"/>
          <w:color w:val="000000"/>
          <w:sz w:val="22"/>
          <w:szCs w:val="22"/>
        </w:rPr>
        <w:t>Wobec powyższego skargę Pana Antoniego U* uznano za bezzasadną.</w:t>
      </w:r>
    </w:p>
    <w:p w14:paraId="5910B2FB" w14:textId="77777777" w:rsidR="00632C28" w:rsidRDefault="00632C28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</w:p>
    <w:p w14:paraId="0D896734" w14:textId="7D1D7147" w:rsidR="00632C28" w:rsidRDefault="00632C28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Przewodniczący Rady Gminy Gozdowo </w:t>
      </w:r>
    </w:p>
    <w:p w14:paraId="392A7EFA" w14:textId="4883FC81" w:rsidR="00632C28" w:rsidRDefault="00632C28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7910B7">
        <w:rPr>
          <w:rFonts w:asciiTheme="minorHAnsi" w:hAnsiTheme="minorHAnsi"/>
          <w:color w:val="000000"/>
          <w:sz w:val="22"/>
          <w:szCs w:val="22"/>
        </w:rPr>
        <w:t xml:space="preserve">                     </w:t>
      </w:r>
      <w:r>
        <w:rPr>
          <w:rFonts w:asciiTheme="minorHAnsi" w:hAnsiTheme="minorHAnsi"/>
          <w:color w:val="000000"/>
          <w:sz w:val="22"/>
          <w:szCs w:val="22"/>
        </w:rPr>
        <w:t>Dariusz Śmig</w:t>
      </w:r>
      <w:r w:rsidR="0047789F">
        <w:rPr>
          <w:rFonts w:asciiTheme="minorHAnsi" w:hAnsiTheme="minorHAnsi"/>
          <w:color w:val="000000"/>
          <w:sz w:val="22"/>
          <w:szCs w:val="22"/>
        </w:rPr>
        <w:t>ie</w:t>
      </w:r>
      <w:r>
        <w:rPr>
          <w:rFonts w:asciiTheme="minorHAnsi" w:hAnsiTheme="minorHAnsi"/>
          <w:color w:val="000000"/>
          <w:sz w:val="22"/>
          <w:szCs w:val="22"/>
        </w:rPr>
        <w:t xml:space="preserve">lski </w:t>
      </w:r>
    </w:p>
    <w:p w14:paraId="6795082A" w14:textId="77777777" w:rsidR="00632C28" w:rsidRDefault="00632C28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</w:p>
    <w:p w14:paraId="4C81B1F4" w14:textId="77777777" w:rsidR="00DF1887" w:rsidRDefault="00DF1887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</w:p>
    <w:p w14:paraId="348601E1" w14:textId="77777777" w:rsidR="00DF1887" w:rsidRPr="009D7E01" w:rsidRDefault="00DF1887" w:rsidP="00632C28">
      <w:pPr>
        <w:pStyle w:val="NormalnyWeb"/>
        <w:spacing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</w:p>
    <w:p w14:paraId="3524E286" w14:textId="77777777" w:rsidR="009D7E01" w:rsidRDefault="00000000" w:rsidP="009D7E01">
      <w:r>
        <w:rPr>
          <w:noProof/>
        </w:rPr>
        <w:pict w14:anchorId="76CB483B"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14:paraId="6312EC0B" w14:textId="77777777" w:rsidR="009D7E01" w:rsidRPr="0047789F" w:rsidRDefault="009D7E01" w:rsidP="00632C28">
      <w:pPr>
        <w:pStyle w:val="Nagwek3"/>
        <w:spacing w:before="0"/>
        <w:rPr>
          <w:color w:val="000000"/>
          <w:lang w:val="pl-PL"/>
        </w:rPr>
      </w:pPr>
      <w:r w:rsidRPr="0047789F">
        <w:rPr>
          <w:color w:val="000000"/>
          <w:lang w:val="pl-PL"/>
        </w:rPr>
        <w:t>Pouczenie</w:t>
      </w:r>
    </w:p>
    <w:p w14:paraId="4F0AD3A9" w14:textId="669ED30A" w:rsidR="005B07D0" w:rsidRPr="009D7E01" w:rsidRDefault="009D7E01" w:rsidP="00632C28">
      <w:pPr>
        <w:pStyle w:val="NormalnyWeb"/>
        <w:spacing w:before="0" w:before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D7E01">
        <w:rPr>
          <w:rFonts w:asciiTheme="minorHAnsi" w:hAnsiTheme="minorHAnsi"/>
          <w:color w:val="000000"/>
          <w:sz w:val="22"/>
          <w:szCs w:val="22"/>
        </w:rPr>
        <w:t>Zgodnie z art. 239 § 1 k.p.a., w przypadku ponowienia skargi bez wskazania nowych okoliczności organ właściwy do jej rozpatrzenia może podtrzymać swoje poprzednie stanowisko z odpowiednią adnotacją w aktach sprawy, bez zawiadamiania skarżącego.</w:t>
      </w:r>
      <w:r w:rsidR="00BD5966" w:rsidRPr="009D7E01">
        <w:rPr>
          <w:rFonts w:asciiTheme="minorHAnsi" w:hAnsiTheme="minorHAnsi"/>
          <w:sz w:val="22"/>
          <w:szCs w:val="22"/>
        </w:rPr>
        <w:br/>
        <w:t>* Wyłączenie jawności danych osobowych na podstawie Rozporządzenia Parlamentu Europejskiego i Rady (UE) 2016/679 (RODO).</w:t>
      </w:r>
    </w:p>
    <w:sectPr w:rsidR="005B07D0" w:rsidRPr="009D7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C4968"/>
    <w:multiLevelType w:val="multilevel"/>
    <w:tmpl w:val="B32C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84FD0"/>
    <w:multiLevelType w:val="hybridMultilevel"/>
    <w:tmpl w:val="4CA26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140E"/>
    <w:multiLevelType w:val="hybridMultilevel"/>
    <w:tmpl w:val="A364B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641DC"/>
    <w:multiLevelType w:val="hybridMultilevel"/>
    <w:tmpl w:val="98B0F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15F24"/>
    <w:multiLevelType w:val="hybridMultilevel"/>
    <w:tmpl w:val="0686B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6639"/>
    <w:multiLevelType w:val="hybridMultilevel"/>
    <w:tmpl w:val="EEA4951E"/>
    <w:lvl w:ilvl="0" w:tplc="83B64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0B8A"/>
    <w:multiLevelType w:val="hybridMultilevel"/>
    <w:tmpl w:val="131C7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15693">
    <w:abstractNumId w:val="8"/>
  </w:num>
  <w:num w:numId="2" w16cid:durableId="844052213">
    <w:abstractNumId w:val="6"/>
  </w:num>
  <w:num w:numId="3" w16cid:durableId="1963878802">
    <w:abstractNumId w:val="5"/>
  </w:num>
  <w:num w:numId="4" w16cid:durableId="349918867">
    <w:abstractNumId w:val="4"/>
  </w:num>
  <w:num w:numId="5" w16cid:durableId="1216307886">
    <w:abstractNumId w:val="7"/>
  </w:num>
  <w:num w:numId="6" w16cid:durableId="25762600">
    <w:abstractNumId w:val="3"/>
  </w:num>
  <w:num w:numId="7" w16cid:durableId="1528061526">
    <w:abstractNumId w:val="2"/>
  </w:num>
  <w:num w:numId="8" w16cid:durableId="1783574298">
    <w:abstractNumId w:val="1"/>
  </w:num>
  <w:num w:numId="9" w16cid:durableId="564921729">
    <w:abstractNumId w:val="0"/>
  </w:num>
  <w:num w:numId="10" w16cid:durableId="711998626">
    <w:abstractNumId w:val="11"/>
  </w:num>
  <w:num w:numId="11" w16cid:durableId="1467703818">
    <w:abstractNumId w:val="9"/>
  </w:num>
  <w:num w:numId="12" w16cid:durableId="1314024286">
    <w:abstractNumId w:val="14"/>
  </w:num>
  <w:num w:numId="13" w16cid:durableId="1774353332">
    <w:abstractNumId w:val="15"/>
  </w:num>
  <w:num w:numId="14" w16cid:durableId="1043481601">
    <w:abstractNumId w:val="10"/>
  </w:num>
  <w:num w:numId="15" w16cid:durableId="227302329">
    <w:abstractNumId w:val="13"/>
  </w:num>
  <w:num w:numId="16" w16cid:durableId="1187477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7D"/>
    <w:rsid w:val="00255A7F"/>
    <w:rsid w:val="0028590E"/>
    <w:rsid w:val="0029639D"/>
    <w:rsid w:val="00326F90"/>
    <w:rsid w:val="003B1ECB"/>
    <w:rsid w:val="003B5527"/>
    <w:rsid w:val="003F5F70"/>
    <w:rsid w:val="0047789F"/>
    <w:rsid w:val="004F0E97"/>
    <w:rsid w:val="00553266"/>
    <w:rsid w:val="005B07D0"/>
    <w:rsid w:val="00632C28"/>
    <w:rsid w:val="007910B7"/>
    <w:rsid w:val="00860D25"/>
    <w:rsid w:val="009D7E01"/>
    <w:rsid w:val="00AA1D8D"/>
    <w:rsid w:val="00B47730"/>
    <w:rsid w:val="00BD5966"/>
    <w:rsid w:val="00CA6CCB"/>
    <w:rsid w:val="00CB0664"/>
    <w:rsid w:val="00DF18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1961E"/>
  <w14:defaultImageDpi w14:val="300"/>
  <w15:docId w15:val="{FC246CB4-382C-5946-9A47-A519CD8E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CA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9D7E01"/>
  </w:style>
  <w:style w:type="character" w:customStyle="1" w:styleId="relative">
    <w:name w:val="relative"/>
    <w:basedOn w:val="Domylnaczcionkaakapitu"/>
    <w:rsid w:val="009D7E01"/>
  </w:style>
  <w:style w:type="paragraph" w:customStyle="1" w:styleId="not-prose">
    <w:name w:val="not-prose"/>
    <w:basedOn w:val="Normalny"/>
    <w:rsid w:val="009D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1003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Gronczewska</cp:lastModifiedBy>
  <cp:revision>7</cp:revision>
  <dcterms:created xsi:type="dcterms:W3CDTF">2026-02-20T10:10:00Z</dcterms:created>
  <dcterms:modified xsi:type="dcterms:W3CDTF">2026-03-02T13:42:00Z</dcterms:modified>
  <cp:category/>
</cp:coreProperties>
</file>