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DA27" w14:textId="77777777" w:rsidR="0046555D" w:rsidRDefault="0046555D" w:rsidP="00396531">
      <w:pPr>
        <w:spacing w:after="0"/>
        <w:rPr>
          <w:b/>
          <w:lang w:val="pl-PL"/>
        </w:rPr>
      </w:pPr>
    </w:p>
    <w:p w14:paraId="2EA3E41B" w14:textId="2E5C385A" w:rsidR="00A657DD" w:rsidRPr="00A13277" w:rsidRDefault="00CA7EC1" w:rsidP="00A13277">
      <w:pPr>
        <w:spacing w:after="0"/>
        <w:jc w:val="center"/>
        <w:rPr>
          <w:lang w:val="pl-PL"/>
        </w:rPr>
      </w:pPr>
      <w:r w:rsidRPr="00A13277">
        <w:rPr>
          <w:b/>
          <w:lang w:val="pl-PL"/>
        </w:rPr>
        <w:t xml:space="preserve">UCHWAŁA NR </w:t>
      </w:r>
      <w:r w:rsidR="00396531">
        <w:rPr>
          <w:b/>
          <w:lang w:val="pl-PL"/>
        </w:rPr>
        <w:t>XXV</w:t>
      </w:r>
      <w:r w:rsidRPr="00A13277">
        <w:rPr>
          <w:b/>
          <w:lang w:val="pl-PL"/>
        </w:rPr>
        <w:t>/</w:t>
      </w:r>
      <w:r w:rsidR="00396531">
        <w:rPr>
          <w:b/>
          <w:lang w:val="pl-PL"/>
        </w:rPr>
        <w:t>152</w:t>
      </w:r>
      <w:r w:rsidRPr="00A13277">
        <w:rPr>
          <w:b/>
          <w:lang w:val="pl-PL"/>
        </w:rPr>
        <w:t>/2026</w:t>
      </w:r>
    </w:p>
    <w:p w14:paraId="6072B556" w14:textId="77777777" w:rsidR="00A657DD" w:rsidRPr="00A13277" w:rsidRDefault="00CA7EC1" w:rsidP="00A13277">
      <w:pPr>
        <w:spacing w:after="0"/>
        <w:jc w:val="center"/>
        <w:rPr>
          <w:lang w:val="pl-PL"/>
        </w:rPr>
      </w:pPr>
      <w:r w:rsidRPr="00A13277">
        <w:rPr>
          <w:lang w:val="pl-PL"/>
        </w:rPr>
        <w:t>RADY GMINY GOZDOWO</w:t>
      </w:r>
    </w:p>
    <w:p w14:paraId="2BA39E6A" w14:textId="429341F8" w:rsidR="00A657DD" w:rsidRPr="00A13277" w:rsidRDefault="00CA7EC1" w:rsidP="00A13277">
      <w:pPr>
        <w:spacing w:after="0"/>
        <w:jc w:val="center"/>
        <w:rPr>
          <w:lang w:val="pl-PL"/>
        </w:rPr>
      </w:pPr>
      <w:r w:rsidRPr="00A13277">
        <w:rPr>
          <w:lang w:val="pl-PL"/>
        </w:rPr>
        <w:t xml:space="preserve">z dnia </w:t>
      </w:r>
      <w:r w:rsidR="00396531">
        <w:rPr>
          <w:lang w:val="pl-PL"/>
        </w:rPr>
        <w:t xml:space="preserve">25 lutego </w:t>
      </w:r>
      <w:r w:rsidRPr="00A13277">
        <w:rPr>
          <w:lang w:val="pl-PL"/>
        </w:rPr>
        <w:t>2026 r.</w:t>
      </w:r>
    </w:p>
    <w:p w14:paraId="3F011589" w14:textId="77777777" w:rsidR="00A657DD" w:rsidRPr="00A13277" w:rsidRDefault="00A657DD" w:rsidP="00A13277">
      <w:pPr>
        <w:spacing w:after="0"/>
        <w:rPr>
          <w:lang w:val="pl-PL"/>
        </w:rPr>
      </w:pPr>
    </w:p>
    <w:p w14:paraId="27A3F81F" w14:textId="77777777" w:rsidR="00A657DD" w:rsidRPr="00A13277" w:rsidRDefault="00CA7EC1" w:rsidP="00A13277">
      <w:pPr>
        <w:spacing w:after="0"/>
        <w:jc w:val="center"/>
        <w:rPr>
          <w:lang w:val="pl-PL"/>
        </w:rPr>
      </w:pPr>
      <w:r w:rsidRPr="00A13277">
        <w:rPr>
          <w:b/>
          <w:lang w:val="pl-PL"/>
        </w:rPr>
        <w:t>w sprawie ustalenia szczegółowych zasad ponoszenia odpłatności za pobyt w Centrum Opiekuńczo–Mieszkalnym w Gozdowie</w:t>
      </w:r>
    </w:p>
    <w:p w14:paraId="58727E73" w14:textId="77777777" w:rsidR="00A657DD" w:rsidRPr="00A13277" w:rsidRDefault="00A657DD">
      <w:pPr>
        <w:rPr>
          <w:lang w:val="pl-PL"/>
        </w:rPr>
      </w:pPr>
    </w:p>
    <w:p w14:paraId="67434C42" w14:textId="701265B6" w:rsidR="00A657DD" w:rsidRPr="00A13277" w:rsidRDefault="00CA7EC1" w:rsidP="00A13277">
      <w:pPr>
        <w:jc w:val="both"/>
        <w:rPr>
          <w:lang w:val="pl-PL"/>
        </w:rPr>
      </w:pPr>
      <w:r w:rsidRPr="00A13277">
        <w:rPr>
          <w:lang w:val="pl-PL"/>
        </w:rPr>
        <w:t>Na podstawie art. 18 ust. 2 pkt 15 ustawy o samorządzie gminnym (Dz. U. z 2025 r. poz. 1153 ze zm.) oraz art. 97 ust. 1 i 5 ustawy z dnia 12 marca 2004 r. o pomocy społecznej (Dz. U. z 2025 r. poz. 1214 ze zm.) uchwala się, co następuje:</w:t>
      </w:r>
    </w:p>
    <w:p w14:paraId="1BD16C66" w14:textId="77777777" w:rsidR="00A657DD" w:rsidRPr="00A13277" w:rsidRDefault="00CA7EC1" w:rsidP="00A13277">
      <w:pPr>
        <w:jc w:val="center"/>
        <w:rPr>
          <w:b/>
          <w:bCs/>
          <w:lang w:val="pl-PL"/>
        </w:rPr>
      </w:pPr>
      <w:r w:rsidRPr="00A13277">
        <w:rPr>
          <w:b/>
          <w:bCs/>
          <w:lang w:val="pl-PL"/>
        </w:rPr>
        <w:t>§ 1.</w:t>
      </w:r>
    </w:p>
    <w:p w14:paraId="4C385886" w14:textId="69C21F56" w:rsidR="00A657DD" w:rsidRPr="00A13277" w:rsidRDefault="00CA7EC1" w:rsidP="00A13277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A13277">
        <w:rPr>
          <w:lang w:val="pl-PL"/>
        </w:rPr>
        <w:t xml:space="preserve">Uchwała określa szczegółowe zasady ponoszenia odpłatności za pobyt w gminnym ośrodku wsparcia </w:t>
      </w:r>
      <w:bookmarkStart w:id="0" w:name="OLE_LINK1"/>
      <w:r w:rsidRPr="00A13277">
        <w:rPr>
          <w:lang w:val="pl-PL"/>
        </w:rPr>
        <w:t>Centrum Opiekuńczo</w:t>
      </w:r>
      <w:r w:rsidR="0031754D">
        <w:rPr>
          <w:lang w:val="pl-PL"/>
        </w:rPr>
        <w:t xml:space="preserve"> </w:t>
      </w:r>
      <w:r w:rsidRPr="00A13277">
        <w:rPr>
          <w:lang w:val="pl-PL"/>
        </w:rPr>
        <w:t>Mieszkalnym w Gozdo</w:t>
      </w:r>
      <w:bookmarkEnd w:id="0"/>
      <w:r w:rsidRPr="00A13277">
        <w:rPr>
          <w:lang w:val="pl-PL"/>
        </w:rPr>
        <w:t>wie. Określone zasady mają zastosowanie do przypadków przyznania osobom niepełnosprawnym usług zamieszkania całodobowego oraz dziennego.</w:t>
      </w:r>
    </w:p>
    <w:p w14:paraId="4D1C05AA" w14:textId="0B6C36E6" w:rsidR="003F0C11" w:rsidRDefault="00CA7EC1" w:rsidP="003F0C1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A13277">
        <w:rPr>
          <w:lang w:val="pl-PL"/>
        </w:rPr>
        <w:t>Odpłatność za pobyt w Centrum Opiekuńczo</w:t>
      </w:r>
      <w:r w:rsidR="0031754D">
        <w:rPr>
          <w:lang w:val="pl-PL"/>
        </w:rPr>
        <w:t xml:space="preserve"> </w:t>
      </w:r>
      <w:r w:rsidRPr="00A13277">
        <w:rPr>
          <w:lang w:val="pl-PL"/>
        </w:rPr>
        <w:t>Mieszkalnym w Gozdowie ustala się według następujących zasad:</w:t>
      </w:r>
    </w:p>
    <w:p w14:paraId="06757D5E" w14:textId="77777777" w:rsidR="003F0C11" w:rsidRPr="003F0C11" w:rsidRDefault="003F0C11" w:rsidP="003F0C11">
      <w:pPr>
        <w:rPr>
          <w:lang w:val="pl-PL"/>
        </w:rPr>
      </w:pPr>
      <w:r w:rsidRPr="003F0C11">
        <w:rPr>
          <w:b/>
        </w:rPr>
        <w:t xml:space="preserve">1) </w:t>
      </w:r>
      <w:r w:rsidRPr="003F0C11">
        <w:rPr>
          <w:b/>
          <w:lang w:val="pl-PL"/>
        </w:rPr>
        <w:t>Odpłatność za pobyt całodobowy: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F0C11" w:rsidRPr="00396531" w14:paraId="38BE75D0" w14:textId="77777777" w:rsidTr="00B45512">
        <w:trPr>
          <w:jc w:val="center"/>
        </w:trPr>
        <w:tc>
          <w:tcPr>
            <w:tcW w:w="4320" w:type="dxa"/>
          </w:tcPr>
          <w:p w14:paraId="645731B9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Zakres usług w ramach pobytu</w:t>
            </w:r>
          </w:p>
        </w:tc>
        <w:tc>
          <w:tcPr>
            <w:tcW w:w="4320" w:type="dxa"/>
          </w:tcPr>
          <w:p w14:paraId="001B775A" w14:textId="6B3BA1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Wysokość miesięcznej odpłatności za pobyt w ośrodku wsparcia wyrażona jako % dochodu osoby </w:t>
            </w:r>
            <w:r w:rsidR="001D23B7" w:rsidRPr="00C01639">
              <w:rPr>
                <w:lang w:val="pl-PL"/>
              </w:rPr>
              <w:t>samotnie gospodarującej i osoby w rodzinie</w:t>
            </w:r>
            <w:r w:rsidRPr="00C01639">
              <w:rPr>
                <w:lang w:val="pl-PL"/>
              </w:rPr>
              <w:t xml:space="preserve"> </w:t>
            </w:r>
            <w:r w:rsidRPr="003F0C11">
              <w:rPr>
                <w:lang w:val="pl-PL"/>
              </w:rPr>
              <w:t>w odniesieniu do zakresu przyznanych usług nie więcej niż kwota przekroczenia dofinansowania.</w:t>
            </w:r>
          </w:p>
        </w:tc>
      </w:tr>
      <w:tr w:rsidR="003F0C11" w:rsidRPr="00396531" w14:paraId="7160177E" w14:textId="77777777" w:rsidTr="00B45512">
        <w:trPr>
          <w:jc w:val="center"/>
        </w:trPr>
        <w:tc>
          <w:tcPr>
            <w:tcW w:w="4320" w:type="dxa"/>
          </w:tcPr>
          <w:p w14:paraId="7DBA764A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całodobowy z wyżywieniem i usługami opiekuńczymi</w:t>
            </w:r>
          </w:p>
        </w:tc>
        <w:tc>
          <w:tcPr>
            <w:tcW w:w="4320" w:type="dxa"/>
          </w:tcPr>
          <w:p w14:paraId="7558F947" w14:textId="24A8281C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>.) –</w:t>
            </w:r>
            <w:r w:rsidR="001D23B7">
              <w:rPr>
                <w:lang w:val="pl-PL"/>
              </w:rPr>
              <w:t xml:space="preserve">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200</w:t>
            </w:r>
            <w:r w:rsidRPr="003F0C11">
              <w:rPr>
                <w:lang w:val="pl-PL"/>
              </w:rPr>
              <w:t>%  –</w:t>
            </w:r>
            <w:r w:rsidR="004D30ED">
              <w:rPr>
                <w:lang w:val="pl-PL"/>
              </w:rPr>
              <w:t xml:space="preserve"> </w:t>
            </w:r>
            <w:r w:rsidR="001D23B7">
              <w:rPr>
                <w:lang w:val="pl-PL"/>
              </w:rPr>
              <w:t>10</w:t>
            </w:r>
            <w:r w:rsidR="00481A62" w:rsidRPr="004D30ED">
              <w:rPr>
                <w:color w:val="000000" w:themeColor="text1"/>
                <w:lang w:val="pl-PL"/>
              </w:rPr>
              <w:t>%</w:t>
            </w:r>
          </w:p>
        </w:tc>
      </w:tr>
      <w:tr w:rsidR="003F0C11" w:rsidRPr="00396531" w14:paraId="5B14F649" w14:textId="77777777" w:rsidTr="00B45512">
        <w:trPr>
          <w:jc w:val="center"/>
        </w:trPr>
        <w:tc>
          <w:tcPr>
            <w:tcW w:w="4320" w:type="dxa"/>
          </w:tcPr>
          <w:p w14:paraId="0E7242F9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całodobowy z wyżywieniem, usługami opiekuńczymi i terapeutycznymi</w:t>
            </w:r>
          </w:p>
        </w:tc>
        <w:tc>
          <w:tcPr>
            <w:tcW w:w="4320" w:type="dxa"/>
          </w:tcPr>
          <w:p w14:paraId="50800A38" w14:textId="75D94CCA" w:rsidR="003F0C11" w:rsidRPr="00481A62" w:rsidRDefault="00BF371F" w:rsidP="00B45512">
            <w:pPr>
              <w:rPr>
                <w:color w:val="FF0000"/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>.) –</w:t>
            </w:r>
            <w:r w:rsidR="001D23B7">
              <w:rPr>
                <w:lang w:val="pl-PL"/>
              </w:rPr>
              <w:t xml:space="preserve">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200</w:t>
            </w:r>
            <w:r w:rsidR="001D23B7">
              <w:rPr>
                <w:lang w:val="pl-PL"/>
              </w:rPr>
              <w:t>%</w:t>
            </w:r>
            <w:r w:rsidRPr="003F0C11">
              <w:rPr>
                <w:lang w:val="pl-PL"/>
              </w:rPr>
              <w:t xml:space="preserve"> </w:t>
            </w:r>
            <w:r w:rsidRPr="004D30ED">
              <w:rPr>
                <w:color w:val="000000" w:themeColor="text1"/>
                <w:lang w:val="pl-PL"/>
              </w:rPr>
              <w:t>–</w:t>
            </w:r>
            <w:r w:rsidR="004D30ED">
              <w:rPr>
                <w:color w:val="000000" w:themeColor="text1"/>
                <w:lang w:val="pl-PL"/>
              </w:rPr>
              <w:t xml:space="preserve"> </w:t>
            </w:r>
            <w:r w:rsidR="001D23B7">
              <w:rPr>
                <w:color w:val="000000" w:themeColor="text1"/>
                <w:lang w:val="pl-PL"/>
              </w:rPr>
              <w:t>13</w:t>
            </w:r>
            <w:r w:rsidR="00481A62" w:rsidRPr="004D30ED">
              <w:rPr>
                <w:color w:val="000000" w:themeColor="text1"/>
                <w:lang w:val="pl-PL"/>
              </w:rPr>
              <w:t>%</w:t>
            </w:r>
          </w:p>
        </w:tc>
      </w:tr>
      <w:tr w:rsidR="003F0C11" w:rsidRPr="00396531" w14:paraId="3467C056" w14:textId="77777777" w:rsidTr="00B45512">
        <w:trPr>
          <w:jc w:val="center"/>
        </w:trPr>
        <w:tc>
          <w:tcPr>
            <w:tcW w:w="4320" w:type="dxa"/>
          </w:tcPr>
          <w:p w14:paraId="4E393698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całodobowy z wyżywieniem, usługami opiekuńczymi, terapeutycznymi oraz rehabilitacyjno-usprawniającymi</w:t>
            </w:r>
          </w:p>
        </w:tc>
        <w:tc>
          <w:tcPr>
            <w:tcW w:w="4320" w:type="dxa"/>
          </w:tcPr>
          <w:p w14:paraId="03F04A87" w14:textId="6C468F29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</w:t>
            </w:r>
            <w:r>
              <w:rPr>
                <w:lang w:val="pl-PL"/>
              </w:rPr>
              <w:t>00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>.) –</w:t>
            </w:r>
            <w:r w:rsidR="001D23B7">
              <w:rPr>
                <w:lang w:val="pl-PL"/>
              </w:rPr>
              <w:t xml:space="preserve">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200</w:t>
            </w:r>
            <w:r w:rsidR="001D23B7">
              <w:rPr>
                <w:lang w:val="pl-PL"/>
              </w:rPr>
              <w:t>%</w:t>
            </w:r>
            <w:r w:rsidRPr="003F0C11">
              <w:rPr>
                <w:lang w:val="pl-PL"/>
              </w:rPr>
              <w:t xml:space="preserve"> –</w:t>
            </w:r>
            <w:r w:rsidR="001D23B7">
              <w:rPr>
                <w:lang w:val="pl-PL"/>
              </w:rPr>
              <w:t xml:space="preserve"> 16</w:t>
            </w:r>
            <w:r w:rsidR="00481A62" w:rsidRPr="004D30ED">
              <w:rPr>
                <w:color w:val="000000" w:themeColor="text1"/>
                <w:lang w:val="pl-PL"/>
              </w:rPr>
              <w:t>%</w:t>
            </w:r>
          </w:p>
        </w:tc>
      </w:tr>
      <w:tr w:rsidR="003F0C11" w:rsidRPr="00396531" w14:paraId="48578A66" w14:textId="77777777" w:rsidTr="00B45512">
        <w:trPr>
          <w:jc w:val="center"/>
        </w:trPr>
        <w:tc>
          <w:tcPr>
            <w:tcW w:w="4320" w:type="dxa"/>
          </w:tcPr>
          <w:p w14:paraId="0B4A6BED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Pobyt całodobowy z wyżywieniem, usługami opiekuńczymi, specjalistycznymi </w:t>
            </w:r>
            <w:r w:rsidRPr="003F0C11">
              <w:rPr>
                <w:lang w:val="pl-PL"/>
              </w:rPr>
              <w:lastRenderedPageBreak/>
              <w:t>usługami opiekuńczymi, terapeutycznymi oraz rehabilitacyjno-usprawniającymi</w:t>
            </w:r>
          </w:p>
        </w:tc>
        <w:tc>
          <w:tcPr>
            <w:tcW w:w="4320" w:type="dxa"/>
          </w:tcPr>
          <w:p w14:paraId="411B1DEB" w14:textId="20734851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lastRenderedPageBreak/>
              <w:t xml:space="preserve">Do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>.) –</w:t>
            </w:r>
            <w:r w:rsidR="001D23B7">
              <w:rPr>
                <w:lang w:val="pl-PL"/>
              </w:rPr>
              <w:t xml:space="preserve">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</w:r>
            <w:r w:rsidRPr="003F0C11">
              <w:rPr>
                <w:lang w:val="pl-PL"/>
              </w:rPr>
              <w:lastRenderedPageBreak/>
              <w:t xml:space="preserve">Powyżej </w:t>
            </w:r>
            <w:r w:rsidR="00C01639">
              <w:rPr>
                <w:lang w:val="pl-PL"/>
              </w:rPr>
              <w:t>200</w:t>
            </w:r>
            <w:r w:rsidRPr="003F0C11">
              <w:rPr>
                <w:lang w:val="pl-PL"/>
              </w:rPr>
              <w:t>% –</w:t>
            </w:r>
            <w:r w:rsidR="004D30ED">
              <w:rPr>
                <w:lang w:val="pl-PL"/>
              </w:rPr>
              <w:t xml:space="preserve"> </w:t>
            </w:r>
            <w:r w:rsidR="001D23B7">
              <w:rPr>
                <w:lang w:val="pl-PL"/>
              </w:rPr>
              <w:t>20</w:t>
            </w:r>
            <w:r w:rsidR="00481A62" w:rsidRPr="004D30ED">
              <w:rPr>
                <w:color w:val="000000" w:themeColor="text1"/>
                <w:lang w:val="pl-PL"/>
              </w:rPr>
              <w:t>%</w:t>
            </w:r>
            <w:r w:rsidR="00481A62">
              <w:rPr>
                <w:lang w:val="pl-PL"/>
              </w:rPr>
              <w:t xml:space="preserve"> </w:t>
            </w:r>
            <w:r w:rsidRPr="003F0C11">
              <w:rPr>
                <w:lang w:val="pl-PL"/>
              </w:rPr>
              <w:br/>
            </w:r>
          </w:p>
        </w:tc>
      </w:tr>
    </w:tbl>
    <w:p w14:paraId="61655693" w14:textId="77777777" w:rsidR="003F0C11" w:rsidRPr="003F0C11" w:rsidRDefault="003F0C11" w:rsidP="003F0C11">
      <w:pPr>
        <w:pStyle w:val="Akapitzlist"/>
        <w:ind w:left="360"/>
        <w:rPr>
          <w:lang w:val="pl-PL"/>
        </w:rPr>
      </w:pPr>
    </w:p>
    <w:p w14:paraId="07B73859" w14:textId="77777777" w:rsidR="003F0C11" w:rsidRPr="003F0C11" w:rsidRDefault="003F0C11" w:rsidP="003F0C11">
      <w:pPr>
        <w:rPr>
          <w:lang w:val="pl-PL"/>
        </w:rPr>
      </w:pPr>
      <w:r w:rsidRPr="003F0C11">
        <w:rPr>
          <w:b/>
          <w:lang w:val="pl-PL"/>
        </w:rPr>
        <w:t>2) Odpłatność za pobyt dzienny: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F0C11" w:rsidRPr="00396531" w14:paraId="06203BBE" w14:textId="77777777" w:rsidTr="00B45512">
        <w:trPr>
          <w:jc w:val="center"/>
        </w:trPr>
        <w:tc>
          <w:tcPr>
            <w:tcW w:w="4320" w:type="dxa"/>
          </w:tcPr>
          <w:p w14:paraId="1AF953E0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Zakres usług w ramach pobytu</w:t>
            </w:r>
          </w:p>
        </w:tc>
        <w:tc>
          <w:tcPr>
            <w:tcW w:w="4320" w:type="dxa"/>
          </w:tcPr>
          <w:p w14:paraId="6A136BEC" w14:textId="62C67636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Wysokość miesięcznej odpłatności za pobyt w ośrodku wsparcia wyrażona jako % dochodu osoby </w:t>
            </w:r>
            <w:r w:rsidR="001D23B7">
              <w:rPr>
                <w:lang w:val="pl-PL"/>
              </w:rPr>
              <w:t>samotnie gospodarującej i osoby w rodzinie</w:t>
            </w:r>
            <w:r w:rsidRPr="003F0C11">
              <w:rPr>
                <w:lang w:val="pl-PL"/>
              </w:rPr>
              <w:t xml:space="preserve"> w odniesieniu do zakresu przyznanych usług nie więcej niż kwota przekroczenia dofinansowania</w:t>
            </w:r>
            <w:r w:rsidR="00BF371F">
              <w:rPr>
                <w:lang w:val="pl-PL"/>
              </w:rPr>
              <w:t xml:space="preserve">. </w:t>
            </w:r>
          </w:p>
        </w:tc>
      </w:tr>
      <w:tr w:rsidR="003F0C11" w:rsidRPr="00396531" w14:paraId="6974E90B" w14:textId="77777777" w:rsidTr="00B45512">
        <w:trPr>
          <w:jc w:val="center"/>
        </w:trPr>
        <w:tc>
          <w:tcPr>
            <w:tcW w:w="4320" w:type="dxa"/>
          </w:tcPr>
          <w:p w14:paraId="1DA096EE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dzienny z wyżywieniem i usługami opiekuńczymi</w:t>
            </w:r>
          </w:p>
        </w:tc>
        <w:tc>
          <w:tcPr>
            <w:tcW w:w="4320" w:type="dxa"/>
          </w:tcPr>
          <w:p w14:paraId="34CAF710" w14:textId="02042A82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 xml:space="preserve">.) –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>%  –</w:t>
            </w:r>
            <w:r w:rsidR="004D30ED">
              <w:rPr>
                <w:lang w:val="pl-PL"/>
              </w:rPr>
              <w:t xml:space="preserve"> </w:t>
            </w:r>
            <w:r w:rsidR="0079133F" w:rsidRPr="004D30ED">
              <w:rPr>
                <w:color w:val="000000" w:themeColor="text1"/>
                <w:lang w:val="pl-PL"/>
              </w:rPr>
              <w:t>3%</w:t>
            </w:r>
          </w:p>
        </w:tc>
      </w:tr>
      <w:tr w:rsidR="003F0C11" w:rsidRPr="00396531" w14:paraId="2DDFF937" w14:textId="77777777" w:rsidTr="00B45512">
        <w:trPr>
          <w:jc w:val="center"/>
        </w:trPr>
        <w:tc>
          <w:tcPr>
            <w:tcW w:w="4320" w:type="dxa"/>
          </w:tcPr>
          <w:p w14:paraId="451D28BB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dzienny z wyżywieniem, usługami opiekuńczymi i terapeutycznymi</w:t>
            </w:r>
          </w:p>
        </w:tc>
        <w:tc>
          <w:tcPr>
            <w:tcW w:w="4320" w:type="dxa"/>
          </w:tcPr>
          <w:p w14:paraId="0AB070B1" w14:textId="7728F437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 xml:space="preserve">.) –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>% –</w:t>
            </w:r>
            <w:r w:rsidR="004D30ED">
              <w:rPr>
                <w:lang w:val="pl-PL"/>
              </w:rPr>
              <w:t xml:space="preserve"> </w:t>
            </w:r>
            <w:r w:rsidR="0079133F" w:rsidRPr="004D30ED">
              <w:rPr>
                <w:color w:val="000000" w:themeColor="text1"/>
                <w:lang w:val="pl-PL"/>
              </w:rPr>
              <w:t>5%</w:t>
            </w:r>
          </w:p>
        </w:tc>
      </w:tr>
      <w:tr w:rsidR="003F0C11" w:rsidRPr="00396531" w14:paraId="549DCE41" w14:textId="77777777" w:rsidTr="00B45512">
        <w:trPr>
          <w:jc w:val="center"/>
        </w:trPr>
        <w:tc>
          <w:tcPr>
            <w:tcW w:w="4320" w:type="dxa"/>
          </w:tcPr>
          <w:p w14:paraId="04686E54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dzienny z wyżywieniem, usługami opiekuńczymi, terapeutycznymi oraz rehabilitacyjno-usprawniającymi</w:t>
            </w:r>
          </w:p>
        </w:tc>
        <w:tc>
          <w:tcPr>
            <w:tcW w:w="4320" w:type="dxa"/>
          </w:tcPr>
          <w:p w14:paraId="355D3A99" w14:textId="140C2A49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>.) –</w:t>
            </w:r>
            <w:r w:rsidR="001D23B7">
              <w:rPr>
                <w:lang w:val="pl-PL"/>
              </w:rPr>
              <w:t xml:space="preserve">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>%  –</w:t>
            </w:r>
            <w:r w:rsidR="004D30ED">
              <w:rPr>
                <w:lang w:val="pl-PL"/>
              </w:rPr>
              <w:t xml:space="preserve"> </w:t>
            </w:r>
            <w:r w:rsidR="0079133F" w:rsidRPr="004D30ED">
              <w:rPr>
                <w:color w:val="000000" w:themeColor="text1"/>
                <w:lang w:val="pl-PL"/>
              </w:rPr>
              <w:t>7%</w:t>
            </w:r>
          </w:p>
        </w:tc>
      </w:tr>
      <w:tr w:rsidR="003F0C11" w:rsidRPr="00396531" w14:paraId="27B82C80" w14:textId="77777777" w:rsidTr="00B45512">
        <w:trPr>
          <w:jc w:val="center"/>
        </w:trPr>
        <w:tc>
          <w:tcPr>
            <w:tcW w:w="4320" w:type="dxa"/>
          </w:tcPr>
          <w:p w14:paraId="44FE892D" w14:textId="77777777" w:rsidR="003F0C11" w:rsidRPr="003F0C11" w:rsidRDefault="003F0C11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>Pobyt dzienny z wyżywieniem, usługami opiekuńczymi, specjalistycznymi usługami opiekuńczymi, terapeutycznymi oraz rehabilitacyjno-usprawniającymi</w:t>
            </w:r>
          </w:p>
        </w:tc>
        <w:tc>
          <w:tcPr>
            <w:tcW w:w="4320" w:type="dxa"/>
          </w:tcPr>
          <w:p w14:paraId="73E15CF6" w14:textId="38B16533" w:rsidR="003F0C11" w:rsidRPr="003F0C11" w:rsidRDefault="00BF371F" w:rsidP="00B45512">
            <w:pPr>
              <w:rPr>
                <w:lang w:val="pl-PL"/>
              </w:rPr>
            </w:pPr>
            <w:r w:rsidRPr="003F0C11">
              <w:rPr>
                <w:lang w:val="pl-PL"/>
              </w:rPr>
              <w:t xml:space="preserve">Do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kryterium dochodowego (art. 8 ust.1 pkt 1 i 2 </w:t>
            </w:r>
            <w:proofErr w:type="spellStart"/>
            <w:r w:rsidRPr="003F0C11">
              <w:rPr>
                <w:lang w:val="pl-PL"/>
              </w:rPr>
              <w:t>u.p.s</w:t>
            </w:r>
            <w:proofErr w:type="spellEnd"/>
            <w:r w:rsidRPr="003F0C11">
              <w:rPr>
                <w:lang w:val="pl-PL"/>
              </w:rPr>
              <w:t xml:space="preserve">.) – </w:t>
            </w:r>
            <w:r w:rsidR="00C01639">
              <w:rPr>
                <w:lang w:val="pl-PL"/>
              </w:rPr>
              <w:t>nieodpłatnie</w:t>
            </w:r>
            <w:r w:rsidRPr="003F0C11">
              <w:rPr>
                <w:lang w:val="pl-PL"/>
              </w:rPr>
              <w:br/>
              <w:t xml:space="preserve">Powyżej </w:t>
            </w:r>
            <w:r w:rsidR="00C01639">
              <w:rPr>
                <w:lang w:val="pl-PL"/>
              </w:rPr>
              <w:t>20</w:t>
            </w:r>
            <w:r w:rsidR="005C539F">
              <w:rPr>
                <w:lang w:val="pl-PL"/>
              </w:rPr>
              <w:t>0</w:t>
            </w:r>
            <w:r w:rsidRPr="003F0C11">
              <w:rPr>
                <w:lang w:val="pl-PL"/>
              </w:rPr>
              <w:t xml:space="preserve">%  </w:t>
            </w:r>
            <w:r w:rsidRPr="004D30ED">
              <w:rPr>
                <w:color w:val="000000" w:themeColor="text1"/>
                <w:lang w:val="pl-PL"/>
              </w:rPr>
              <w:t>–</w:t>
            </w:r>
            <w:r w:rsidR="004D30ED">
              <w:rPr>
                <w:color w:val="000000" w:themeColor="text1"/>
                <w:lang w:val="pl-PL"/>
              </w:rPr>
              <w:t xml:space="preserve"> </w:t>
            </w:r>
            <w:r w:rsidR="0079133F" w:rsidRPr="004D30ED">
              <w:rPr>
                <w:color w:val="000000" w:themeColor="text1"/>
                <w:lang w:val="pl-PL"/>
              </w:rPr>
              <w:t>9%</w:t>
            </w:r>
            <w:r w:rsidRPr="004D30ED">
              <w:rPr>
                <w:color w:val="000000" w:themeColor="text1"/>
                <w:lang w:val="pl-PL"/>
              </w:rPr>
              <w:br/>
            </w:r>
          </w:p>
        </w:tc>
      </w:tr>
    </w:tbl>
    <w:p w14:paraId="02954E8C" w14:textId="77777777" w:rsidR="00A657DD" w:rsidRPr="00396531" w:rsidRDefault="00A657DD">
      <w:pPr>
        <w:rPr>
          <w:lang w:val="pl-PL"/>
        </w:rPr>
      </w:pPr>
    </w:p>
    <w:p w14:paraId="5C3F2FD5" w14:textId="77777777" w:rsidR="0031754D" w:rsidRDefault="00CA7EC1" w:rsidP="0031754D">
      <w:pPr>
        <w:jc w:val="center"/>
        <w:rPr>
          <w:b/>
          <w:bCs/>
        </w:rPr>
      </w:pPr>
      <w:r w:rsidRPr="00A13277">
        <w:rPr>
          <w:b/>
          <w:bCs/>
        </w:rPr>
        <w:t>§ 2.</w:t>
      </w:r>
    </w:p>
    <w:p w14:paraId="3CEB8724" w14:textId="086B435D" w:rsidR="0031754D" w:rsidRPr="0031754D" w:rsidRDefault="00CA7EC1" w:rsidP="0031754D">
      <w:pPr>
        <w:pStyle w:val="Akapitzlist"/>
        <w:numPr>
          <w:ilvl w:val="0"/>
          <w:numId w:val="16"/>
        </w:numPr>
        <w:jc w:val="both"/>
        <w:rPr>
          <w:b/>
          <w:bCs/>
          <w:color w:val="000000" w:themeColor="text1"/>
          <w:lang w:val="pl-PL"/>
        </w:rPr>
      </w:pPr>
      <w:r w:rsidRPr="0031754D">
        <w:rPr>
          <w:color w:val="000000" w:themeColor="text1"/>
          <w:lang w:val="pl-PL"/>
        </w:rPr>
        <w:t>Wysokość odpłatności ustalana jest każdorazowo w drodze decyzji administracyjnej.</w:t>
      </w:r>
    </w:p>
    <w:p w14:paraId="421E2220" w14:textId="75EF2A85" w:rsidR="0031754D" w:rsidRPr="0031754D" w:rsidRDefault="0031754D" w:rsidP="00A13277">
      <w:pPr>
        <w:pStyle w:val="Akapitzlist"/>
        <w:numPr>
          <w:ilvl w:val="0"/>
          <w:numId w:val="16"/>
        </w:numPr>
        <w:jc w:val="both"/>
        <w:rPr>
          <w:b/>
          <w:bCs/>
          <w:color w:val="000000" w:themeColor="text1"/>
          <w:lang w:val="pl-PL"/>
        </w:rPr>
      </w:pPr>
      <w:r w:rsidRPr="0031754D">
        <w:rPr>
          <w:rFonts w:eastAsia="Times New Roman" w:cs="Times New Roman"/>
          <w:color w:val="000000" w:themeColor="text1"/>
          <w:lang w:val="pl-PL"/>
        </w:rPr>
        <w:t xml:space="preserve">Średni miesięczny koszt pobytu w </w:t>
      </w:r>
      <w:r w:rsidRPr="0031754D">
        <w:rPr>
          <w:lang w:val="pl-PL"/>
        </w:rPr>
        <w:t xml:space="preserve">Centrum Opiekuńczo–Mieszkalnym w Gozdowie </w:t>
      </w:r>
      <w:r w:rsidRPr="0031754D">
        <w:rPr>
          <w:rFonts w:eastAsia="Times New Roman" w:cs="Times New Roman"/>
          <w:color w:val="000000" w:themeColor="text1"/>
          <w:lang w:val="pl-PL"/>
        </w:rPr>
        <w:t xml:space="preserve"> ustala się na podstawie kalkulacji kosztów prowadzenia </w:t>
      </w:r>
      <w:r w:rsidRPr="0031754D">
        <w:rPr>
          <w:lang w:val="pl-PL"/>
        </w:rPr>
        <w:t>Centrum Opiekuńczo–Mieszkalnym w Gozdowie</w:t>
      </w:r>
    </w:p>
    <w:p w14:paraId="0812014A" w14:textId="77777777" w:rsidR="00A657DD" w:rsidRPr="00A13277" w:rsidRDefault="00CA7EC1" w:rsidP="00A13277">
      <w:pPr>
        <w:jc w:val="center"/>
        <w:rPr>
          <w:b/>
          <w:bCs/>
        </w:rPr>
      </w:pPr>
      <w:r w:rsidRPr="00A13277">
        <w:rPr>
          <w:b/>
          <w:bCs/>
        </w:rPr>
        <w:t>§ 3.</w:t>
      </w:r>
    </w:p>
    <w:p w14:paraId="35C82FD4" w14:textId="17D72B36" w:rsidR="00A657DD" w:rsidRPr="0031754D" w:rsidRDefault="00CA7EC1" w:rsidP="0031754D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31754D">
        <w:rPr>
          <w:lang w:val="pl-PL"/>
        </w:rPr>
        <w:t>Odpłatność pobierana jest wyłącznie w przypadku przekroczenia dofinansowania udzielonego w ramach Modułu II Programu „Centra opiekuńczo-mieszkalne”.</w:t>
      </w:r>
    </w:p>
    <w:p w14:paraId="39A5F69A" w14:textId="60F2C620" w:rsidR="0031754D" w:rsidRPr="0031754D" w:rsidRDefault="0031754D" w:rsidP="0031754D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31754D">
        <w:rPr>
          <w:lang w:val="pl-PL"/>
        </w:rPr>
        <w:t>Osoby zobowiązane do ponoszenia opłat za usługi świadczone w Centrum mogą zostać zwolnione z częściowej lub całkowitej opłaty na wniosek własny, opiekuna prawnego lub pracownika socjalnego w przypadku, gdy:</w:t>
      </w:r>
    </w:p>
    <w:p w14:paraId="21B69FA8" w14:textId="63590D6B" w:rsidR="0031754D" w:rsidRPr="0031754D" w:rsidRDefault="0031754D" w:rsidP="0031754D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1754D">
        <w:rPr>
          <w:lang w:val="pl-PL"/>
        </w:rPr>
        <w:lastRenderedPageBreak/>
        <w:t>wnoszą opłatę za pobyt innych członków rodziny w jednostkach pomocy społecznej lub instytucjach zapewniających całodobową opiekę;</w:t>
      </w:r>
    </w:p>
    <w:p w14:paraId="5C2A5E8D" w14:textId="16401BCF" w:rsidR="0031754D" w:rsidRPr="0031754D" w:rsidRDefault="0031754D" w:rsidP="0031754D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1754D">
        <w:rPr>
          <w:lang w:val="pl-PL"/>
        </w:rPr>
        <w:t xml:space="preserve">wystąpienia długotrwałej lub ciężkiej choroby, niepełnosprawności powodującej konieczność ponoszenia znacznych i udokumentowanych wydatków związanych </w:t>
      </w:r>
      <w:r w:rsidR="00396531">
        <w:rPr>
          <w:lang w:val="pl-PL"/>
        </w:rPr>
        <w:t xml:space="preserve">                    </w:t>
      </w:r>
      <w:r w:rsidRPr="0031754D">
        <w:rPr>
          <w:lang w:val="pl-PL"/>
        </w:rPr>
        <w:t>z procesem leczenia, rehabilitacji osoby zobowiązanej lub członka rodziny;</w:t>
      </w:r>
    </w:p>
    <w:p w14:paraId="308930DC" w14:textId="1594AD00" w:rsidR="005C539F" w:rsidRDefault="0031754D" w:rsidP="005C539F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1754D">
        <w:rPr>
          <w:lang w:val="pl-PL"/>
        </w:rPr>
        <w:t>poniosą straty materialne w wyniku klęski żywiołowej lub innych zdarzeń losowych</w:t>
      </w:r>
      <w:r w:rsidR="004D30ED">
        <w:rPr>
          <w:lang w:val="pl-PL"/>
        </w:rPr>
        <w:t>;</w:t>
      </w:r>
    </w:p>
    <w:p w14:paraId="6A4B2E5B" w14:textId="4ED67114" w:rsidR="0031754D" w:rsidRPr="0031754D" w:rsidRDefault="0031754D" w:rsidP="0031754D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31754D">
        <w:rPr>
          <w:lang w:val="pl-PL"/>
        </w:rPr>
        <w:t xml:space="preserve">Decyzje w zakresie zwolnień podejmuje Kierownik Gminnego Ośrodka Pomocy Społecznej w Gozdowie.  </w:t>
      </w:r>
    </w:p>
    <w:p w14:paraId="72FE2CAC" w14:textId="0803374B" w:rsidR="0031754D" w:rsidRPr="00396531" w:rsidRDefault="0031754D" w:rsidP="0031754D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31754D">
        <w:rPr>
          <w:lang w:val="pl-PL"/>
        </w:rPr>
        <w:t>Zwolnienie z odpłatności ma charakter czasowy i może zostać przyznane na okres nie dłuższy niż 12 miesięcy w danym roku kalendarzowym.</w:t>
      </w:r>
    </w:p>
    <w:p w14:paraId="5BDF977B" w14:textId="77777777" w:rsidR="00A657DD" w:rsidRPr="00A13277" w:rsidRDefault="00CA7EC1" w:rsidP="00A13277">
      <w:pPr>
        <w:jc w:val="center"/>
        <w:rPr>
          <w:b/>
          <w:bCs/>
        </w:rPr>
      </w:pPr>
      <w:r w:rsidRPr="00A13277">
        <w:rPr>
          <w:b/>
          <w:bCs/>
        </w:rPr>
        <w:t>§ 4.</w:t>
      </w:r>
    </w:p>
    <w:p w14:paraId="2BC31DC1" w14:textId="77C8018A" w:rsidR="00A657DD" w:rsidRPr="0031754D" w:rsidRDefault="00CA7EC1" w:rsidP="0031754D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31754D">
        <w:rPr>
          <w:lang w:val="pl-PL"/>
        </w:rPr>
        <w:t>Jeżeli decyzja o przyznaniu pobytu nie obejmuje pełnego miesiąca kalendarzowego, opłatę oblicza się proporcjonalnie za każdy dzień pobytu.</w:t>
      </w:r>
    </w:p>
    <w:p w14:paraId="70B1D099" w14:textId="359F271E" w:rsidR="0031754D" w:rsidRPr="001D23B7" w:rsidRDefault="0031754D" w:rsidP="0031754D">
      <w:pPr>
        <w:pStyle w:val="Akapitzlist"/>
        <w:numPr>
          <w:ilvl w:val="0"/>
          <w:numId w:val="18"/>
        </w:numPr>
        <w:jc w:val="both"/>
        <w:rPr>
          <w:color w:val="000000" w:themeColor="text1"/>
          <w:u w:val="single"/>
          <w:lang w:val="pl-PL"/>
        </w:rPr>
      </w:pPr>
      <w:r w:rsidRPr="0031754D">
        <w:rPr>
          <w:lang w:val="pl-PL"/>
        </w:rPr>
        <w:t>Osoba skierowana decyzją administracyjną do Centrum Opiekuńczo-Mieszkalnego za każdy dzień nieobecności wnosi odpłatność w wysokości 50% ustalonej odpłatności</w:t>
      </w:r>
      <w:r w:rsidR="0079133F">
        <w:rPr>
          <w:lang w:val="pl-PL"/>
        </w:rPr>
        <w:t xml:space="preserve"> </w:t>
      </w:r>
      <w:r w:rsidR="0079133F" w:rsidRPr="005C539F">
        <w:rPr>
          <w:color w:val="000000" w:themeColor="text1"/>
          <w:lang w:val="pl-PL"/>
        </w:rPr>
        <w:t>tylko w przypadku zgłoszenia nieobecności.</w:t>
      </w:r>
    </w:p>
    <w:p w14:paraId="363B7D9B" w14:textId="56CB5761" w:rsidR="00A657DD" w:rsidRPr="00396531" w:rsidRDefault="00CA7EC1" w:rsidP="00A13277">
      <w:pPr>
        <w:jc w:val="center"/>
        <w:rPr>
          <w:b/>
          <w:bCs/>
          <w:lang w:val="pl-PL"/>
        </w:rPr>
      </w:pPr>
      <w:r w:rsidRPr="00396531">
        <w:rPr>
          <w:b/>
          <w:bCs/>
          <w:lang w:val="pl-PL"/>
        </w:rPr>
        <w:t xml:space="preserve">§ </w:t>
      </w:r>
      <w:r w:rsidR="0031754D" w:rsidRPr="00396531">
        <w:rPr>
          <w:b/>
          <w:bCs/>
          <w:lang w:val="pl-PL"/>
        </w:rPr>
        <w:t>5</w:t>
      </w:r>
      <w:r w:rsidRPr="00396531">
        <w:rPr>
          <w:b/>
          <w:bCs/>
          <w:lang w:val="pl-PL"/>
        </w:rPr>
        <w:t>.</w:t>
      </w:r>
    </w:p>
    <w:p w14:paraId="234E71B0" w14:textId="77777777" w:rsidR="00A657DD" w:rsidRPr="00396531" w:rsidRDefault="00CA7EC1">
      <w:pPr>
        <w:rPr>
          <w:lang w:val="pl-PL"/>
        </w:rPr>
      </w:pPr>
      <w:r w:rsidRPr="00396531">
        <w:rPr>
          <w:lang w:val="pl-PL"/>
        </w:rPr>
        <w:t>Wykonanie uchwały powierza się Wójtowi Gminy Gozdowo.</w:t>
      </w:r>
    </w:p>
    <w:p w14:paraId="136C2044" w14:textId="77777777" w:rsidR="00A657DD" w:rsidRPr="00396531" w:rsidRDefault="00CA7EC1" w:rsidP="00A13277">
      <w:pPr>
        <w:jc w:val="center"/>
        <w:rPr>
          <w:b/>
          <w:bCs/>
          <w:lang w:val="pl-PL"/>
        </w:rPr>
      </w:pPr>
      <w:r w:rsidRPr="00396531">
        <w:rPr>
          <w:b/>
          <w:bCs/>
          <w:lang w:val="pl-PL"/>
        </w:rPr>
        <w:t>§ 7.</w:t>
      </w:r>
    </w:p>
    <w:p w14:paraId="361E9470" w14:textId="338E0F47" w:rsidR="00A657DD" w:rsidRPr="0031754D" w:rsidRDefault="00CA7EC1" w:rsidP="00A13277">
      <w:pPr>
        <w:jc w:val="both"/>
        <w:rPr>
          <w:lang w:val="pl-PL"/>
        </w:rPr>
      </w:pPr>
      <w:r w:rsidRPr="0031754D">
        <w:rPr>
          <w:lang w:val="pl-PL"/>
        </w:rPr>
        <w:t>Uchwała podlega ogłoszeniu w Dzienniku Urzędowym Województwa Mazowieckiego</w:t>
      </w:r>
      <w:r w:rsidR="00396531">
        <w:rPr>
          <w:lang w:val="pl-PL"/>
        </w:rPr>
        <w:t xml:space="preserve">                             </w:t>
      </w:r>
      <w:r w:rsidRPr="0031754D">
        <w:rPr>
          <w:lang w:val="pl-PL"/>
        </w:rPr>
        <w:t xml:space="preserve"> i wchodzi w życie po upływie 14 dni od dnia ogłoszenia.</w:t>
      </w:r>
    </w:p>
    <w:p w14:paraId="4EB6FE69" w14:textId="77777777" w:rsidR="00F73635" w:rsidRPr="00F73635" w:rsidRDefault="00F73635" w:rsidP="00F73635">
      <w:pPr>
        <w:rPr>
          <w:lang w:val="pl-PL"/>
        </w:rPr>
      </w:pPr>
    </w:p>
    <w:p w14:paraId="3553B618" w14:textId="77777777" w:rsidR="00396531" w:rsidRDefault="00396531" w:rsidP="0031754D">
      <w:pPr>
        <w:pStyle w:val="Nagwek1"/>
        <w:jc w:val="center"/>
        <w:rPr>
          <w:rFonts w:asciiTheme="minorHAnsi" w:hAnsiTheme="minorHAnsi"/>
          <w:color w:val="000000"/>
          <w:sz w:val="24"/>
          <w:szCs w:val="24"/>
          <w:lang w:val="pl-PL"/>
        </w:rPr>
      </w:pPr>
    </w:p>
    <w:p w14:paraId="62700FB2" w14:textId="77777777" w:rsidR="000534F1" w:rsidRDefault="000534F1" w:rsidP="000534F1">
      <w:pPr>
        <w:pStyle w:val="NormalnyWeb"/>
        <w:ind w:left="2880"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Przewodniczący Rady Gminy Gozdowo </w:t>
      </w:r>
    </w:p>
    <w:p w14:paraId="0017177B" w14:textId="77777777" w:rsidR="000534F1" w:rsidRPr="00A13277" w:rsidRDefault="000534F1" w:rsidP="000534F1">
      <w:pPr>
        <w:pStyle w:val="NormalnyWeb"/>
        <w:ind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Dariusz Śmigielski </w:t>
      </w:r>
    </w:p>
    <w:p w14:paraId="54902D1B" w14:textId="77777777" w:rsidR="00396531" w:rsidRPr="00396531" w:rsidRDefault="00396531" w:rsidP="00396531">
      <w:pPr>
        <w:rPr>
          <w:lang w:val="pl-PL"/>
        </w:rPr>
      </w:pPr>
    </w:p>
    <w:p w14:paraId="78F0EFB1" w14:textId="77777777" w:rsidR="00396531" w:rsidRPr="00396531" w:rsidRDefault="00396531" w:rsidP="00396531">
      <w:pPr>
        <w:rPr>
          <w:lang w:val="pl-PL"/>
        </w:rPr>
      </w:pPr>
    </w:p>
    <w:p w14:paraId="28052EDB" w14:textId="77777777" w:rsidR="00396531" w:rsidRPr="00396531" w:rsidRDefault="00396531" w:rsidP="00396531">
      <w:pPr>
        <w:rPr>
          <w:lang w:val="pl-PL"/>
        </w:rPr>
      </w:pPr>
    </w:p>
    <w:p w14:paraId="4EACEACF" w14:textId="77777777" w:rsidR="00396531" w:rsidRPr="00396531" w:rsidRDefault="00396531" w:rsidP="00396531">
      <w:pPr>
        <w:rPr>
          <w:lang w:val="pl-PL"/>
        </w:rPr>
      </w:pPr>
    </w:p>
    <w:p w14:paraId="04081281" w14:textId="77777777" w:rsidR="00396531" w:rsidRPr="00396531" w:rsidRDefault="00396531" w:rsidP="00396531">
      <w:pPr>
        <w:rPr>
          <w:lang w:val="pl-PL"/>
        </w:rPr>
      </w:pPr>
    </w:p>
    <w:p w14:paraId="43EECC64" w14:textId="77777777" w:rsidR="00396531" w:rsidRPr="00396531" w:rsidRDefault="00396531" w:rsidP="00396531">
      <w:pPr>
        <w:rPr>
          <w:lang w:val="pl-PL"/>
        </w:rPr>
      </w:pPr>
    </w:p>
    <w:p w14:paraId="6C75D425" w14:textId="77777777" w:rsidR="00396531" w:rsidRPr="00396531" w:rsidRDefault="00396531" w:rsidP="00396531">
      <w:pPr>
        <w:rPr>
          <w:lang w:val="pl-PL"/>
        </w:rPr>
      </w:pPr>
    </w:p>
    <w:p w14:paraId="38E42960" w14:textId="77777777" w:rsidR="00396531" w:rsidRPr="00396531" w:rsidRDefault="00396531" w:rsidP="00396531">
      <w:pPr>
        <w:rPr>
          <w:lang w:val="pl-PL"/>
        </w:rPr>
      </w:pPr>
    </w:p>
    <w:p w14:paraId="341BF29E" w14:textId="77777777" w:rsidR="00396531" w:rsidRPr="00396531" w:rsidRDefault="00396531" w:rsidP="00396531">
      <w:pPr>
        <w:rPr>
          <w:lang w:val="pl-PL"/>
        </w:rPr>
      </w:pPr>
    </w:p>
    <w:p w14:paraId="416FF52C" w14:textId="241426A9" w:rsidR="00A13277" w:rsidRPr="00396531" w:rsidRDefault="00A13277" w:rsidP="00396531">
      <w:pPr>
        <w:spacing w:after="0"/>
        <w:jc w:val="center"/>
        <w:rPr>
          <w:b/>
          <w:bCs/>
          <w:lang w:val="pl-PL"/>
        </w:rPr>
      </w:pPr>
      <w:r w:rsidRPr="00396531">
        <w:rPr>
          <w:b/>
          <w:bCs/>
          <w:lang w:val="pl-PL"/>
        </w:rPr>
        <w:t>UZASADNIENIE</w:t>
      </w:r>
    </w:p>
    <w:p w14:paraId="7F1D5E4A" w14:textId="6AD04C42" w:rsidR="00A13277" w:rsidRPr="00396531" w:rsidRDefault="00A13277" w:rsidP="00396531">
      <w:pPr>
        <w:spacing w:after="0"/>
        <w:ind w:firstLine="720"/>
        <w:jc w:val="both"/>
        <w:rPr>
          <w:lang w:val="pl-PL"/>
        </w:rPr>
      </w:pPr>
      <w:r w:rsidRPr="00396531">
        <w:rPr>
          <w:lang w:val="pl-PL"/>
        </w:rPr>
        <w:t xml:space="preserve">Zgodnie z art. 97 ust. 5 ustawy z dnia 12 marca 2004 r. o pomocy społecznej rada gminy ustala w drodze uchwały szczegółowe zasady ponoszenia odpłatności za pobyt </w:t>
      </w:r>
      <w:r w:rsidR="00396531" w:rsidRPr="00396531">
        <w:rPr>
          <w:lang w:val="pl-PL"/>
        </w:rPr>
        <w:t xml:space="preserve"> </w:t>
      </w:r>
      <w:r w:rsidR="00396531">
        <w:rPr>
          <w:lang w:val="pl-PL"/>
        </w:rPr>
        <w:t xml:space="preserve">                       </w:t>
      </w:r>
      <w:r w:rsidRPr="00396531">
        <w:rPr>
          <w:lang w:val="pl-PL"/>
        </w:rPr>
        <w:t>w ośrodkach wsparcia.</w:t>
      </w:r>
    </w:p>
    <w:p w14:paraId="24B73DC3" w14:textId="652F8F8E" w:rsidR="00A13277" w:rsidRPr="00396531" w:rsidRDefault="00A13277" w:rsidP="00396531">
      <w:pPr>
        <w:spacing w:after="0"/>
        <w:ind w:firstLine="720"/>
        <w:jc w:val="both"/>
        <w:rPr>
          <w:lang w:val="pl-PL"/>
        </w:rPr>
      </w:pPr>
      <w:r w:rsidRPr="00396531">
        <w:rPr>
          <w:lang w:val="pl-PL"/>
        </w:rPr>
        <w:t>Centrum Opiekuńczo–Mieszkalne w Gozdowie funkcjonuje jako gminny ośrodek</w:t>
      </w:r>
      <w:r w:rsidR="00396531" w:rsidRPr="00396531">
        <w:rPr>
          <w:lang w:val="pl-PL"/>
        </w:rPr>
        <w:t xml:space="preserve"> </w:t>
      </w:r>
      <w:r w:rsidR="00396531">
        <w:rPr>
          <w:lang w:val="pl-PL"/>
        </w:rPr>
        <w:t xml:space="preserve">          </w:t>
      </w:r>
      <w:r w:rsidRPr="00396531">
        <w:rPr>
          <w:lang w:val="pl-PL"/>
        </w:rPr>
        <w:t xml:space="preserve"> wsparcia realizujący zadania własne gminy w zakresie pomocy społecznej, skierowany do osób dorosłych posiadających orzeczenie o znacznym lub umiarkowanym stopniu niepełnosprawności. Centrum zapewnia możliwość pobytu całodobowego oraz dziennego wraz z usługami opiekuńczymi, terapeutycznymi, rehabilitacyjno-usprawniającymi oraz – </w:t>
      </w:r>
      <w:r w:rsidR="00396531" w:rsidRPr="00396531">
        <w:rPr>
          <w:lang w:val="pl-PL"/>
        </w:rPr>
        <w:t xml:space="preserve"> </w:t>
      </w:r>
      <w:r w:rsidR="00396531">
        <w:rPr>
          <w:lang w:val="pl-PL"/>
        </w:rPr>
        <w:t xml:space="preserve">              </w:t>
      </w:r>
      <w:r w:rsidRPr="00396531">
        <w:rPr>
          <w:lang w:val="pl-PL"/>
        </w:rPr>
        <w:t>w zależności od zakresu przyznanych świadczeń – specjalistycznymi usługami opiekuńczymi.</w:t>
      </w:r>
    </w:p>
    <w:p w14:paraId="24C92581" w14:textId="34C8F84D" w:rsidR="00A13277" w:rsidRPr="00396531" w:rsidRDefault="00A13277" w:rsidP="00396531">
      <w:pPr>
        <w:spacing w:after="0"/>
        <w:jc w:val="both"/>
        <w:rPr>
          <w:lang w:val="pl-PL"/>
        </w:rPr>
      </w:pPr>
      <w:r w:rsidRPr="00396531">
        <w:rPr>
          <w:lang w:val="pl-PL"/>
        </w:rPr>
        <w:t xml:space="preserve">Działalność Centrum współfinansowana jest ze środków Funduszu Solidarnościowego </w:t>
      </w:r>
      <w:r w:rsidR="00396531" w:rsidRPr="00396531">
        <w:rPr>
          <w:lang w:val="pl-PL"/>
        </w:rPr>
        <w:t xml:space="preserve"> </w:t>
      </w:r>
      <w:r w:rsidR="00396531">
        <w:rPr>
          <w:lang w:val="pl-PL"/>
        </w:rPr>
        <w:t xml:space="preserve">                    </w:t>
      </w:r>
      <w:r w:rsidRPr="00396531">
        <w:rPr>
          <w:lang w:val="pl-PL"/>
        </w:rPr>
        <w:t>w ramach Modułu II Programu „Centra opiekuńczo-mieszkalne”. Zgodnie z zasadami</w:t>
      </w:r>
      <w:r w:rsidR="00396531" w:rsidRPr="00396531">
        <w:rPr>
          <w:lang w:val="pl-PL"/>
        </w:rPr>
        <w:t xml:space="preserve"> </w:t>
      </w:r>
      <w:r w:rsidR="00396531">
        <w:rPr>
          <w:lang w:val="pl-PL"/>
        </w:rPr>
        <w:t xml:space="preserve">  </w:t>
      </w:r>
      <w:r w:rsidRPr="00396531">
        <w:rPr>
          <w:lang w:val="pl-PL"/>
        </w:rPr>
        <w:t xml:space="preserve"> Programu dofinansowanie obejmuje określony poziom kosztów funkcjonowania jednostki, natomiast jednostka samorządu terytorialnego zobowiązana jest do ustalenia zasad ewentualnej odpłatności uczestników.</w:t>
      </w:r>
    </w:p>
    <w:p w14:paraId="53B07A2A" w14:textId="77777777" w:rsidR="00A13277" w:rsidRPr="00396531" w:rsidRDefault="00A13277" w:rsidP="00396531">
      <w:pPr>
        <w:spacing w:after="0"/>
        <w:ind w:firstLine="720"/>
        <w:jc w:val="both"/>
        <w:rPr>
          <w:lang w:val="pl-PL"/>
        </w:rPr>
      </w:pPr>
      <w:r w:rsidRPr="00396531">
        <w:rPr>
          <w:lang w:val="pl-PL"/>
        </w:rPr>
        <w:t>Przedmiotowa uchwała:</w:t>
      </w:r>
    </w:p>
    <w:p w14:paraId="344B6EDB" w14:textId="236203FF" w:rsidR="00A13277" w:rsidRPr="00396531" w:rsidRDefault="00A13277" w:rsidP="00396531">
      <w:pPr>
        <w:pStyle w:val="Akapitzlist"/>
        <w:numPr>
          <w:ilvl w:val="0"/>
          <w:numId w:val="21"/>
        </w:numPr>
        <w:spacing w:after="0"/>
        <w:jc w:val="both"/>
        <w:rPr>
          <w:lang w:val="pl-PL"/>
        </w:rPr>
      </w:pPr>
      <w:r w:rsidRPr="00396531">
        <w:rPr>
          <w:lang w:val="pl-PL"/>
        </w:rPr>
        <w:t xml:space="preserve">określa szczegółowe progi dochodowe odnoszące się do kryterium dochodowego, </w:t>
      </w:r>
      <w:r w:rsidR="00396531">
        <w:rPr>
          <w:lang w:val="pl-PL"/>
        </w:rPr>
        <w:t xml:space="preserve">                    </w:t>
      </w:r>
      <w:r w:rsidRPr="00396531">
        <w:rPr>
          <w:lang w:val="pl-PL"/>
        </w:rPr>
        <w:t xml:space="preserve">o którym </w:t>
      </w:r>
      <w:r w:rsidR="00396531" w:rsidRPr="00396531">
        <w:rPr>
          <w:lang w:val="pl-PL"/>
        </w:rPr>
        <w:t xml:space="preserve"> </w:t>
      </w:r>
      <w:r w:rsidRPr="00396531">
        <w:rPr>
          <w:lang w:val="pl-PL"/>
        </w:rPr>
        <w:t>mowa w art. 8 ust. 1 pkt 1 i 2 ustawy o pomocy społecznej,</w:t>
      </w:r>
    </w:p>
    <w:p w14:paraId="4CE899FB" w14:textId="67527220" w:rsidR="00A13277" w:rsidRPr="00396531" w:rsidRDefault="00A13277" w:rsidP="00396531">
      <w:pPr>
        <w:pStyle w:val="Akapitzlist"/>
        <w:numPr>
          <w:ilvl w:val="0"/>
          <w:numId w:val="21"/>
        </w:numPr>
        <w:spacing w:after="0"/>
        <w:jc w:val="both"/>
        <w:rPr>
          <w:lang w:val="pl-PL"/>
        </w:rPr>
      </w:pPr>
      <w:r w:rsidRPr="00396531">
        <w:rPr>
          <w:lang w:val="pl-PL"/>
        </w:rPr>
        <w:t>różnicuje wysokość odpłatności w zależności od zakresu przyznanych usług,</w:t>
      </w:r>
      <w:r w:rsidR="00396531" w:rsidRPr="00396531">
        <w:rPr>
          <w:lang w:val="pl-PL"/>
        </w:rPr>
        <w:t xml:space="preserve"> </w:t>
      </w:r>
    </w:p>
    <w:p w14:paraId="1D5F0E85" w14:textId="0A8BC0A6" w:rsidR="00A13277" w:rsidRPr="00396531" w:rsidRDefault="00A13277" w:rsidP="00396531">
      <w:pPr>
        <w:pStyle w:val="Akapitzlist"/>
        <w:numPr>
          <w:ilvl w:val="0"/>
          <w:numId w:val="21"/>
        </w:numPr>
        <w:spacing w:after="0"/>
        <w:jc w:val="both"/>
        <w:rPr>
          <w:lang w:val="pl-PL"/>
        </w:rPr>
      </w:pPr>
      <w:r w:rsidRPr="00396531">
        <w:rPr>
          <w:lang w:val="pl-PL"/>
        </w:rPr>
        <w:t>wprowadza zasadę, że odpłatność nie może przekroczyć kwoty przekroczenia dofinansowania ogłoszonej w zarządzeniu w sprawie średniego miesięcznego kosztu utrzymania uczestnika,</w:t>
      </w:r>
      <w:r w:rsidR="00396531" w:rsidRPr="00396531">
        <w:rPr>
          <w:lang w:val="pl-PL"/>
        </w:rPr>
        <w:t xml:space="preserve"> </w:t>
      </w:r>
      <w:r w:rsidRPr="00396531">
        <w:rPr>
          <w:lang w:val="pl-PL"/>
        </w:rPr>
        <w:t>przewiduje ustalanie wysokości odpłatności każdorazowo w drodze decyzji administracyjnej,</w:t>
      </w:r>
      <w:r w:rsidR="00396531" w:rsidRPr="00396531">
        <w:rPr>
          <w:lang w:val="pl-PL"/>
        </w:rPr>
        <w:t xml:space="preserve"> </w:t>
      </w:r>
      <w:r w:rsidRPr="00396531">
        <w:rPr>
          <w:lang w:val="pl-PL"/>
        </w:rPr>
        <w:t>reguluje sposób ustalania opłaty w przypadku niepełnego miesiąca pobytu oraz nieobecności uczestnika.</w:t>
      </w:r>
    </w:p>
    <w:p w14:paraId="62BCD370" w14:textId="77777777" w:rsidR="00A13277" w:rsidRPr="00A13277" w:rsidRDefault="00A13277" w:rsidP="00396531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/>
          <w:color w:val="000000"/>
        </w:rPr>
      </w:pPr>
      <w:r w:rsidRPr="00A13277">
        <w:rPr>
          <w:rFonts w:asciiTheme="minorHAnsi" w:hAnsiTheme="minorHAnsi"/>
          <w:color w:val="000000"/>
        </w:rPr>
        <w:t>Uchwała nie narusza zasad określonych w ustawie o pomocy społecznej oraz mieści się w granicach delegacji ustawowej wynikającej z art. 97 ust. 5 tej ustawy. Konstrukcja odpłatności została powiązana z rzeczywistym kosztem funkcjonowania Centrum oraz wysokością dofinansowania z Funduszu Solidarnościowego, co zapewnia zgodność z warunkami Programu oraz zasadą racjonalnego gospodarowania środkami publicznymi.</w:t>
      </w:r>
    </w:p>
    <w:p w14:paraId="17545D51" w14:textId="26A659E4" w:rsidR="00A13277" w:rsidRDefault="00A13277" w:rsidP="00396531">
      <w:pPr>
        <w:pStyle w:val="NormalnyWeb"/>
        <w:spacing w:before="0" w:beforeAutospacing="0" w:after="0" w:afterAutospacing="0"/>
        <w:ind w:firstLine="720"/>
        <w:jc w:val="both"/>
        <w:rPr>
          <w:rFonts w:asciiTheme="minorHAnsi" w:hAnsiTheme="minorHAnsi"/>
          <w:color w:val="000000"/>
        </w:rPr>
      </w:pPr>
      <w:r w:rsidRPr="00A13277">
        <w:rPr>
          <w:rFonts w:asciiTheme="minorHAnsi" w:hAnsiTheme="minorHAnsi"/>
          <w:color w:val="000000"/>
        </w:rPr>
        <w:t>Podjęcie uchwały jest zasadne i konieczne dla zapewnienia prawidłowego funkcjonowania Centrum Opiekuńczo–Mieszkalnego w Gozdowie oraz uregulowania zasad partycypacji uczestników w kosztach pobytu.</w:t>
      </w:r>
    </w:p>
    <w:p w14:paraId="7826DA31" w14:textId="6B2378E8" w:rsidR="0031754D" w:rsidRDefault="0031754D" w:rsidP="0031754D">
      <w:pPr>
        <w:pStyle w:val="NormalnyWeb"/>
        <w:ind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Przewodniczący Rady Gminy Gozdowo </w:t>
      </w:r>
    </w:p>
    <w:p w14:paraId="6628B3A4" w14:textId="2E21EBA9" w:rsidR="0031754D" w:rsidRPr="00A13277" w:rsidRDefault="0031754D" w:rsidP="0031754D">
      <w:pPr>
        <w:pStyle w:val="NormalnyWeb"/>
        <w:ind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Dariusz Śmigielski </w:t>
      </w:r>
    </w:p>
    <w:sectPr w:rsidR="0031754D" w:rsidRPr="00A132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E1EC0"/>
    <w:multiLevelType w:val="hybridMultilevel"/>
    <w:tmpl w:val="DA162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73623"/>
    <w:multiLevelType w:val="hybridMultilevel"/>
    <w:tmpl w:val="85E87CD2"/>
    <w:lvl w:ilvl="0" w:tplc="A030D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2BA05DB1"/>
    <w:multiLevelType w:val="multilevel"/>
    <w:tmpl w:val="1F4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3339E"/>
    <w:multiLevelType w:val="hybridMultilevel"/>
    <w:tmpl w:val="C0FE5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6F7F"/>
    <w:multiLevelType w:val="hybridMultilevel"/>
    <w:tmpl w:val="0082F950"/>
    <w:lvl w:ilvl="0" w:tplc="99666F58">
      <w:start w:val="100"/>
      <w:numFmt w:val="decimal"/>
      <w:lvlText w:val="%1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39A235D6"/>
    <w:multiLevelType w:val="hybridMultilevel"/>
    <w:tmpl w:val="DA3497AA"/>
    <w:lvl w:ilvl="0" w:tplc="BB82E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8A237E"/>
    <w:multiLevelType w:val="hybridMultilevel"/>
    <w:tmpl w:val="0082F950"/>
    <w:lvl w:ilvl="0" w:tplc="FFFFFFFF">
      <w:start w:val="100"/>
      <w:numFmt w:val="decimal"/>
      <w:lvlText w:val="%1"/>
      <w:lvlJc w:val="left"/>
      <w:pPr>
        <w:ind w:left="1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6" w15:restartNumberingAfterBreak="0">
    <w:nsid w:val="44763260"/>
    <w:multiLevelType w:val="hybridMultilevel"/>
    <w:tmpl w:val="43240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D23930"/>
    <w:multiLevelType w:val="hybridMultilevel"/>
    <w:tmpl w:val="BB60E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947DE"/>
    <w:multiLevelType w:val="hybridMultilevel"/>
    <w:tmpl w:val="03841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DB028B1"/>
    <w:multiLevelType w:val="hybridMultilevel"/>
    <w:tmpl w:val="114E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D80D3E"/>
    <w:multiLevelType w:val="hybridMultilevel"/>
    <w:tmpl w:val="EFC62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433366">
    <w:abstractNumId w:val="8"/>
  </w:num>
  <w:num w:numId="2" w16cid:durableId="1566143265">
    <w:abstractNumId w:val="6"/>
  </w:num>
  <w:num w:numId="3" w16cid:durableId="518008500">
    <w:abstractNumId w:val="5"/>
  </w:num>
  <w:num w:numId="4" w16cid:durableId="874778543">
    <w:abstractNumId w:val="4"/>
  </w:num>
  <w:num w:numId="5" w16cid:durableId="2043164315">
    <w:abstractNumId w:val="7"/>
  </w:num>
  <w:num w:numId="6" w16cid:durableId="1001392810">
    <w:abstractNumId w:val="3"/>
  </w:num>
  <w:num w:numId="7" w16cid:durableId="1003631901">
    <w:abstractNumId w:val="2"/>
  </w:num>
  <w:num w:numId="8" w16cid:durableId="784466653">
    <w:abstractNumId w:val="1"/>
  </w:num>
  <w:num w:numId="9" w16cid:durableId="953944676">
    <w:abstractNumId w:val="0"/>
  </w:num>
  <w:num w:numId="10" w16cid:durableId="470907891">
    <w:abstractNumId w:val="19"/>
  </w:num>
  <w:num w:numId="11" w16cid:durableId="1272737293">
    <w:abstractNumId w:val="11"/>
  </w:num>
  <w:num w:numId="12" w16cid:durableId="1850026129">
    <w:abstractNumId w:val="18"/>
  </w:num>
  <w:num w:numId="13" w16cid:durableId="2002000991">
    <w:abstractNumId w:val="10"/>
  </w:num>
  <w:num w:numId="14" w16cid:durableId="1368409655">
    <w:abstractNumId w:val="13"/>
  </w:num>
  <w:num w:numId="15" w16cid:durableId="1308317367">
    <w:abstractNumId w:val="15"/>
  </w:num>
  <w:num w:numId="16" w16cid:durableId="1718510714">
    <w:abstractNumId w:val="14"/>
  </w:num>
  <w:num w:numId="17" w16cid:durableId="688678228">
    <w:abstractNumId w:val="16"/>
  </w:num>
  <w:num w:numId="18" w16cid:durableId="227957752">
    <w:abstractNumId w:val="20"/>
  </w:num>
  <w:num w:numId="19" w16cid:durableId="1694645323">
    <w:abstractNumId w:val="17"/>
  </w:num>
  <w:num w:numId="20" w16cid:durableId="876891324">
    <w:abstractNumId w:val="9"/>
  </w:num>
  <w:num w:numId="21" w16cid:durableId="12301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4F1"/>
    <w:rsid w:val="0006063C"/>
    <w:rsid w:val="0015074B"/>
    <w:rsid w:val="0016767D"/>
    <w:rsid w:val="001D23B7"/>
    <w:rsid w:val="002052A9"/>
    <w:rsid w:val="00222EE7"/>
    <w:rsid w:val="002510E7"/>
    <w:rsid w:val="0028590E"/>
    <w:rsid w:val="0029639D"/>
    <w:rsid w:val="0031754D"/>
    <w:rsid w:val="00326F90"/>
    <w:rsid w:val="00396531"/>
    <w:rsid w:val="003F0C11"/>
    <w:rsid w:val="0046555D"/>
    <w:rsid w:val="00481A62"/>
    <w:rsid w:val="004B0EC6"/>
    <w:rsid w:val="004D30ED"/>
    <w:rsid w:val="005C539F"/>
    <w:rsid w:val="00690CBD"/>
    <w:rsid w:val="0079133F"/>
    <w:rsid w:val="00834B34"/>
    <w:rsid w:val="00A13277"/>
    <w:rsid w:val="00A657DD"/>
    <w:rsid w:val="00AA1D8D"/>
    <w:rsid w:val="00B47730"/>
    <w:rsid w:val="00BF371F"/>
    <w:rsid w:val="00C01639"/>
    <w:rsid w:val="00C33F63"/>
    <w:rsid w:val="00CA7EC1"/>
    <w:rsid w:val="00CB0664"/>
    <w:rsid w:val="00F73635"/>
    <w:rsid w:val="00FA66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34954"/>
  <w14:defaultImageDpi w14:val="300"/>
  <w15:docId w15:val="{FC246CB4-382C-5946-9A47-A519CD8E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A1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1">
    <w:name w:val="p1"/>
    <w:basedOn w:val="Normalny"/>
    <w:rsid w:val="0031754D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1042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Gronczewska</cp:lastModifiedBy>
  <cp:revision>6</cp:revision>
  <cp:lastPrinted>2026-02-23T10:26:00Z</cp:lastPrinted>
  <dcterms:created xsi:type="dcterms:W3CDTF">2026-02-24T11:40:00Z</dcterms:created>
  <dcterms:modified xsi:type="dcterms:W3CDTF">2026-02-26T08:39:00Z</dcterms:modified>
  <cp:category/>
</cp:coreProperties>
</file>